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B16D" w14:textId="089AF7C5" w:rsidR="004B567F" w:rsidRDefault="004B567F" w:rsidP="00012F2A">
      <w:pPr>
        <w:spacing w:after="0"/>
      </w:pPr>
    </w:p>
    <w:p w14:paraId="4E691FC7" w14:textId="0E5660E6" w:rsidR="0081661F" w:rsidRDefault="0081661F" w:rsidP="00FA6A27">
      <w:pPr>
        <w:spacing w:after="120"/>
      </w:pPr>
      <w:r w:rsidRPr="007F658A">
        <w:rPr>
          <w:b/>
          <w:bCs/>
        </w:rPr>
        <w:t>Or</w:t>
      </w:r>
      <w:r w:rsidR="004F0CF3" w:rsidRPr="007F658A">
        <w:rPr>
          <w:b/>
          <w:bCs/>
        </w:rPr>
        <w:t>dnance Survey</w:t>
      </w:r>
      <w:r w:rsidR="007F658A" w:rsidRPr="007F658A">
        <w:rPr>
          <w:b/>
          <w:bCs/>
        </w:rPr>
        <w:t xml:space="preserve"> map</w:t>
      </w:r>
      <w:r w:rsidR="007F658A" w:rsidRPr="00AA509A">
        <w:rPr>
          <w:b/>
          <w:bCs/>
        </w:rPr>
        <w:t>s</w:t>
      </w:r>
      <w:r w:rsidR="007F658A">
        <w:tab/>
      </w:r>
      <w:r w:rsidR="007F658A">
        <w:tab/>
      </w:r>
      <w:r w:rsidR="007F658A" w:rsidRPr="0015218D">
        <w:rPr>
          <w:i/>
          <w:iCs/>
        </w:rPr>
        <w:t>page 8 addition:</w:t>
      </w:r>
    </w:p>
    <w:p w14:paraId="197CA29A" w14:textId="56C5A24A" w:rsidR="00632614" w:rsidRDefault="00236D4A" w:rsidP="00F37719">
      <w:pPr>
        <w:spacing w:after="120"/>
      </w:pPr>
      <w:r>
        <w:t>From March 2023 t</w:t>
      </w:r>
      <w:r w:rsidR="00913D7A" w:rsidRPr="00DB53DD">
        <w:t>he St James’ Way</w:t>
      </w:r>
      <w:r w:rsidR="00913D7A">
        <w:t xml:space="preserve"> route </w:t>
      </w:r>
      <w:r w:rsidR="00AF12C3">
        <w:t xml:space="preserve">will be </w:t>
      </w:r>
      <w:r w:rsidR="00000536">
        <w:t xml:space="preserve">available </w:t>
      </w:r>
      <w:r w:rsidR="00CB1345">
        <w:t xml:space="preserve">on </w:t>
      </w:r>
      <w:r w:rsidR="00913D7A" w:rsidRPr="00DB53DD">
        <w:t xml:space="preserve">digital </w:t>
      </w:r>
      <w:r w:rsidR="00913D7A" w:rsidRPr="004D7DC0">
        <w:rPr>
          <w:b/>
          <w:bCs/>
        </w:rPr>
        <w:t xml:space="preserve">OS </w:t>
      </w:r>
      <w:r w:rsidR="00913D7A" w:rsidRPr="00A12DBF">
        <w:rPr>
          <w:b/>
          <w:bCs/>
        </w:rPr>
        <w:t>Explorer</w:t>
      </w:r>
      <w:r w:rsidR="00913D7A" w:rsidRPr="00DB53DD">
        <w:t xml:space="preserve"> and </w:t>
      </w:r>
      <w:r w:rsidR="004A43B3" w:rsidRPr="004A43B3">
        <w:rPr>
          <w:b/>
          <w:bCs/>
        </w:rPr>
        <w:t xml:space="preserve">OS </w:t>
      </w:r>
      <w:r w:rsidR="00913D7A" w:rsidRPr="00A12DBF">
        <w:rPr>
          <w:b/>
          <w:bCs/>
        </w:rPr>
        <w:t>Landranger</w:t>
      </w:r>
      <w:r w:rsidR="00913D7A" w:rsidRPr="00DB53DD">
        <w:t xml:space="preserve"> maps</w:t>
      </w:r>
      <w:r w:rsidR="00000536">
        <w:t xml:space="preserve"> to assist </w:t>
      </w:r>
      <w:r w:rsidR="006E4279">
        <w:t>orientation</w:t>
      </w:r>
      <w:r w:rsidR="00913D7A">
        <w:t xml:space="preserve">.  </w:t>
      </w:r>
      <w:r w:rsidR="007A6D15">
        <w:t>T</w:t>
      </w:r>
      <w:r w:rsidR="007A6D15" w:rsidRPr="00DB53DD">
        <w:t>he 4</w:t>
      </w:r>
      <w:r w:rsidR="00963756">
        <w:t>30</w:t>
      </w:r>
      <w:r w:rsidR="007A6D15" w:rsidRPr="00DB53DD">
        <w:t xml:space="preserve"> continuous waymarks and maps generated with the route traced for waymark applications to unitary authorities</w:t>
      </w:r>
      <w:r w:rsidR="0009630C">
        <w:t xml:space="preserve"> pathed the way for th</w:t>
      </w:r>
      <w:r w:rsidR="00632614">
        <w:t>is</w:t>
      </w:r>
      <w:r w:rsidR="0009630C">
        <w:t xml:space="preserve"> addition</w:t>
      </w:r>
      <w:r w:rsidR="00632614">
        <w:t>.</w:t>
      </w:r>
    </w:p>
    <w:p w14:paraId="156E2583" w14:textId="6C27CA7A" w:rsidR="00F2160E" w:rsidRDefault="001C5538" w:rsidP="000E540B">
      <w:pPr>
        <w:spacing w:after="120"/>
      </w:pPr>
      <w:r>
        <w:t>T</w:t>
      </w:r>
      <w:r w:rsidR="00F2160E" w:rsidRPr="00277B91">
        <w:t>his link to the OS website</w:t>
      </w:r>
      <w:r w:rsidR="00F2160E">
        <w:rPr>
          <w:rFonts w:ascii="Arial" w:hAnsi="Arial" w:cs="Arial"/>
          <w:color w:val="26282A"/>
        </w:rPr>
        <w:t xml:space="preserve"> </w:t>
      </w:r>
      <w:hyperlink r:id="rId8" w:tgtFrame="_blank" w:history="1">
        <w:r w:rsidR="00F2160E" w:rsidRPr="00277B91">
          <w:rPr>
            <w:rStyle w:val="Hyperlink"/>
            <w:rFonts w:cstheme="minorHAnsi"/>
          </w:rPr>
          <w:t>https://osmaps.com/</w:t>
        </w:r>
      </w:hyperlink>
      <w:r w:rsidR="00F2160E" w:rsidRPr="00277B91">
        <w:rPr>
          <w:rFonts w:cstheme="minorHAnsi"/>
          <w:color w:val="26282A"/>
        </w:rPr>
        <w:t xml:space="preserve"> </w:t>
      </w:r>
      <w:r w:rsidR="00F2160E" w:rsidRPr="00F03D52">
        <w:t>explains subscription options for their app, including a 7-day free trial, and its features.</w:t>
      </w:r>
      <w:r w:rsidR="00277B91">
        <w:t xml:space="preserve"> </w:t>
      </w:r>
      <w:r w:rsidR="00F2160E" w:rsidRPr="00F03D52">
        <w:t xml:space="preserve"> The app can be used and synchronised on all devices</w:t>
      </w:r>
      <w:r w:rsidR="00174698">
        <w:t xml:space="preserve">.  </w:t>
      </w:r>
      <w:r w:rsidR="004A1340">
        <w:t>The route</w:t>
      </w:r>
      <w:r w:rsidR="00E117B3">
        <w:t xml:space="preserve"> </w:t>
      </w:r>
      <w:r w:rsidR="00E71A98">
        <w:t>w</w:t>
      </w:r>
      <w:r w:rsidR="008D3ED3">
        <w:t xml:space="preserve">ill </w:t>
      </w:r>
      <w:r w:rsidR="00F83BAD">
        <w:t xml:space="preserve">only </w:t>
      </w:r>
      <w:r w:rsidR="008D3ED3">
        <w:t xml:space="preserve">be seen on </w:t>
      </w:r>
      <w:r w:rsidR="00F2160E" w:rsidRPr="00F37719">
        <w:t xml:space="preserve">printed OS maps as and when they are </w:t>
      </w:r>
      <w:r w:rsidR="00F83BAD">
        <w:t xml:space="preserve">next </w:t>
      </w:r>
      <w:r w:rsidR="00F2160E" w:rsidRPr="00F37719">
        <w:t>reprinted.</w:t>
      </w:r>
    </w:p>
    <w:p w14:paraId="779C0F41" w14:textId="218F8AF8" w:rsidR="00AF4CCD" w:rsidRPr="00221A89" w:rsidRDefault="0016740D" w:rsidP="00AB5194">
      <w:pPr>
        <w:spacing w:after="120"/>
        <w:rPr>
          <w:b/>
          <w:bCs/>
        </w:rPr>
      </w:pPr>
      <w:r w:rsidRPr="00221A89">
        <w:rPr>
          <w:b/>
          <w:bCs/>
        </w:rPr>
        <w:t>Pilgrim Stamps in Reading</w:t>
      </w:r>
      <w:r w:rsidR="00BB7D4D" w:rsidRPr="00BB7D4D">
        <w:tab/>
      </w:r>
      <w:r w:rsidR="00BB7D4D">
        <w:rPr>
          <w:i/>
          <w:iCs/>
        </w:rPr>
        <w:t>p</w:t>
      </w:r>
      <w:r w:rsidR="00BB7D4D" w:rsidRPr="00821B55">
        <w:rPr>
          <w:i/>
          <w:iCs/>
        </w:rPr>
        <w:t>age</w:t>
      </w:r>
      <w:r w:rsidR="00B16569">
        <w:rPr>
          <w:i/>
          <w:iCs/>
        </w:rPr>
        <w:t>s</w:t>
      </w:r>
      <w:r w:rsidR="00BB7D4D" w:rsidRPr="00821B55">
        <w:rPr>
          <w:i/>
          <w:iCs/>
        </w:rPr>
        <w:t xml:space="preserve"> 13-15 addition:</w:t>
      </w:r>
    </w:p>
    <w:p w14:paraId="51B2E6C3" w14:textId="4D74AD3B" w:rsidR="00AF4CCD" w:rsidRDefault="00221A89" w:rsidP="00215640">
      <w:pPr>
        <w:spacing w:after="60"/>
      </w:pPr>
      <w:r>
        <w:t>Before setting off</w:t>
      </w:r>
      <w:r w:rsidR="00197866">
        <w:t>,</w:t>
      </w:r>
      <w:r>
        <w:t xml:space="preserve"> </w:t>
      </w:r>
      <w:r w:rsidR="00720E3C">
        <w:t>you</w:t>
      </w:r>
      <w:r w:rsidR="00EF5381">
        <w:t xml:space="preserve"> can get your </w:t>
      </w:r>
      <w:r w:rsidR="00A24394">
        <w:t xml:space="preserve">‘starting’ </w:t>
      </w:r>
      <w:r>
        <w:t xml:space="preserve">pilgrim stamp </w:t>
      </w:r>
      <w:r w:rsidR="002A54EE">
        <w:t>at:</w:t>
      </w:r>
    </w:p>
    <w:p w14:paraId="1D3B079B" w14:textId="46ECE3D7" w:rsidR="00BA1B3A" w:rsidRDefault="00BA1B3A" w:rsidP="00BA1B3A">
      <w:pPr>
        <w:pStyle w:val="ListParagraph"/>
        <w:numPr>
          <w:ilvl w:val="0"/>
          <w:numId w:val="1"/>
        </w:numPr>
      </w:pPr>
      <w:r w:rsidRPr="00122963">
        <w:rPr>
          <w:b/>
          <w:bCs/>
        </w:rPr>
        <w:t>St James Church</w:t>
      </w:r>
      <w:r>
        <w:t xml:space="preserve"> (call ahead </w:t>
      </w:r>
      <w:r w:rsidR="0079328C" w:rsidRPr="0079328C">
        <w:t>if possible</w:t>
      </w:r>
      <w:r w:rsidR="00050B19">
        <w:t>,</w:t>
      </w:r>
      <w:r w:rsidR="0079328C" w:rsidRPr="0079328C">
        <w:t xml:space="preserve"> 0118</w:t>
      </w:r>
      <w:r w:rsidR="007B2D47">
        <w:t xml:space="preserve"> </w:t>
      </w:r>
      <w:r w:rsidR="0079328C" w:rsidRPr="0079328C">
        <w:t>957</w:t>
      </w:r>
      <w:r w:rsidR="007B2D47">
        <w:t xml:space="preserve"> </w:t>
      </w:r>
      <w:r w:rsidR="0079328C" w:rsidRPr="0079328C">
        <w:t>4171</w:t>
      </w:r>
      <w:r>
        <w:t>)</w:t>
      </w:r>
    </w:p>
    <w:p w14:paraId="08638582" w14:textId="3B3B7914" w:rsidR="002A54EE" w:rsidRDefault="002A54EE" w:rsidP="002A54EE">
      <w:pPr>
        <w:pStyle w:val="ListParagraph"/>
        <w:numPr>
          <w:ilvl w:val="0"/>
          <w:numId w:val="1"/>
        </w:numPr>
      </w:pPr>
      <w:r w:rsidRPr="00122963">
        <w:rPr>
          <w:b/>
          <w:bCs/>
        </w:rPr>
        <w:t>Reading Museum</w:t>
      </w:r>
      <w:r>
        <w:t xml:space="preserve"> (</w:t>
      </w:r>
      <w:r w:rsidR="009F6FAD" w:rsidRPr="009F6FAD">
        <w:t xml:space="preserve">open Tues – </w:t>
      </w:r>
      <w:r w:rsidR="00EB6E05">
        <w:t>Fri</w:t>
      </w:r>
      <w:r w:rsidR="0000539D">
        <w:t>,</w:t>
      </w:r>
      <w:r w:rsidR="009F6FAD" w:rsidRPr="009F6FAD">
        <w:t xml:space="preserve"> 10am – 4pm</w:t>
      </w:r>
      <w:r w:rsidR="00EB6E05">
        <w:t>; Sat</w:t>
      </w:r>
      <w:r w:rsidR="0000539D">
        <w:t>,</w:t>
      </w:r>
      <w:r w:rsidR="00EB6E05">
        <w:t xml:space="preserve"> </w:t>
      </w:r>
      <w:r w:rsidR="00020588">
        <w:t>10am – 5pm</w:t>
      </w:r>
      <w:r w:rsidR="00FF15C2">
        <w:t>; closed Sun &amp; Mon</w:t>
      </w:r>
      <w:r w:rsidR="009F6FAD" w:rsidRPr="009F6FAD">
        <w:t>)</w:t>
      </w:r>
      <w:r w:rsidR="00A62962">
        <w:t xml:space="preserve"> </w:t>
      </w:r>
      <w:r w:rsidR="00A62962" w:rsidRPr="00122963">
        <w:rPr>
          <w:b/>
          <w:bCs/>
        </w:rPr>
        <w:t xml:space="preserve">&amp; </w:t>
      </w:r>
      <w:r w:rsidR="00D42545" w:rsidRPr="00122963">
        <w:rPr>
          <w:b/>
          <w:bCs/>
        </w:rPr>
        <w:t>Town Hall</w:t>
      </w:r>
      <w:r w:rsidR="00D42545">
        <w:t xml:space="preserve"> </w:t>
      </w:r>
      <w:r w:rsidR="004A5C1C">
        <w:t xml:space="preserve">(open from 9am Mon </w:t>
      </w:r>
      <w:r w:rsidR="00070358">
        <w:t>–</w:t>
      </w:r>
      <w:r w:rsidR="004A5C1C">
        <w:t xml:space="preserve"> Fri</w:t>
      </w:r>
      <w:r w:rsidR="00070358">
        <w:t>; Sat from 9:45am</w:t>
      </w:r>
      <w:r w:rsidR="004A5C1C">
        <w:t>)</w:t>
      </w:r>
      <w:r w:rsidR="00C5249D">
        <w:t xml:space="preserve">.  Only the Museum sells </w:t>
      </w:r>
      <w:r w:rsidR="004207CB">
        <w:t>pilgrim passport</w:t>
      </w:r>
      <w:r w:rsidR="00C5249D">
        <w:t>s.</w:t>
      </w:r>
    </w:p>
    <w:p w14:paraId="15E0BFD9" w14:textId="4641DFCC" w:rsidR="00020588" w:rsidRDefault="00020588" w:rsidP="00AB5194">
      <w:pPr>
        <w:pStyle w:val="ListParagraph"/>
        <w:numPr>
          <w:ilvl w:val="0"/>
          <w:numId w:val="1"/>
        </w:numPr>
        <w:spacing w:after="120"/>
        <w:ind w:left="357" w:hanging="357"/>
      </w:pPr>
      <w:r w:rsidRPr="00122963">
        <w:rPr>
          <w:b/>
          <w:bCs/>
        </w:rPr>
        <w:t>C</w:t>
      </w:r>
      <w:r w:rsidR="00EE347C" w:rsidRPr="00122963">
        <w:rPr>
          <w:b/>
          <w:bCs/>
        </w:rPr>
        <w:t>a</w:t>
      </w:r>
      <w:r w:rsidRPr="00122963">
        <w:rPr>
          <w:b/>
          <w:bCs/>
        </w:rPr>
        <w:t>rluccio’s</w:t>
      </w:r>
      <w:r w:rsidR="00613431">
        <w:t xml:space="preserve"> </w:t>
      </w:r>
      <w:r w:rsidR="00A72474">
        <w:t xml:space="preserve">(open </w:t>
      </w:r>
      <w:r w:rsidR="00770E2A">
        <w:t xml:space="preserve">Mon – </w:t>
      </w:r>
      <w:r w:rsidR="009153EF">
        <w:t>Fri</w:t>
      </w:r>
      <w:r w:rsidR="00770E2A">
        <w:t xml:space="preserve"> </w:t>
      </w:r>
      <w:r w:rsidR="009153EF">
        <w:t xml:space="preserve">from </w:t>
      </w:r>
      <w:r w:rsidR="00770E2A">
        <w:t>8am</w:t>
      </w:r>
      <w:r w:rsidR="009153EF">
        <w:t>; Sat</w:t>
      </w:r>
      <w:r w:rsidR="00770E2A">
        <w:t xml:space="preserve"> </w:t>
      </w:r>
      <w:r w:rsidR="009153EF">
        <w:t xml:space="preserve">&amp; Sun </w:t>
      </w:r>
      <w:r w:rsidR="00CD2BB4">
        <w:t xml:space="preserve">from 10am, </w:t>
      </w:r>
      <w:r w:rsidR="00F7440E">
        <w:t xml:space="preserve">earliest </w:t>
      </w:r>
      <w:r w:rsidR="00CD2BB4">
        <w:t>close</w:t>
      </w:r>
      <w:r w:rsidR="00F7440E">
        <w:t xml:space="preserve"> is 9pm on Sun.</w:t>
      </w:r>
      <w:r w:rsidR="00CD2BB4">
        <w:t>)</w:t>
      </w:r>
    </w:p>
    <w:p w14:paraId="29E52A9A" w14:textId="32BF859B" w:rsidR="00221A89" w:rsidRDefault="00E87FF7" w:rsidP="00FA6A27">
      <w:pPr>
        <w:spacing w:after="120"/>
      </w:pPr>
      <w:r>
        <w:t xml:space="preserve">Carluccio’s is </w:t>
      </w:r>
      <w:r w:rsidR="00580BB2">
        <w:t xml:space="preserve">about 200m </w:t>
      </w:r>
      <w:r w:rsidR="00802A45">
        <w:t>off the route</w:t>
      </w:r>
      <w:r w:rsidR="00DC64C7">
        <w:t>,</w:t>
      </w:r>
      <w:r w:rsidR="00802A45">
        <w:t xml:space="preserve"> </w:t>
      </w:r>
      <w:r w:rsidR="0061643C">
        <w:t xml:space="preserve">on </w:t>
      </w:r>
      <w:r w:rsidR="006E65C0">
        <w:t>the plaza</w:t>
      </w:r>
      <w:r w:rsidR="003E45FD">
        <w:t xml:space="preserve"> (</w:t>
      </w:r>
      <w:r w:rsidR="00DE5EC5">
        <w:t>Forbury Square</w:t>
      </w:r>
      <w:r w:rsidR="003E45FD">
        <w:t>)</w:t>
      </w:r>
      <w:r w:rsidR="00B80528">
        <w:t xml:space="preserve"> </w:t>
      </w:r>
      <w:r w:rsidR="00FD2D13">
        <w:t xml:space="preserve">just </w:t>
      </w:r>
      <w:r w:rsidR="00127F0C">
        <w:t xml:space="preserve">after </w:t>
      </w:r>
      <w:r w:rsidR="006011E2">
        <w:t>Abbey Gateway</w:t>
      </w:r>
      <w:r w:rsidR="00E121E8">
        <w:t>,</w:t>
      </w:r>
      <w:r w:rsidR="006011E2">
        <w:t xml:space="preserve"> </w:t>
      </w:r>
      <w:r w:rsidR="00B80528">
        <w:t xml:space="preserve">before </w:t>
      </w:r>
      <w:r w:rsidR="00795045">
        <w:t>enter</w:t>
      </w:r>
      <w:r w:rsidR="00B80528">
        <w:t>ing</w:t>
      </w:r>
      <w:r w:rsidR="00795045">
        <w:t xml:space="preserve"> </w:t>
      </w:r>
      <w:r w:rsidR="00301399">
        <w:t>Forbury Gardens.  It</w:t>
      </w:r>
      <w:r w:rsidR="003D1073">
        <w:t>’</w:t>
      </w:r>
      <w:r w:rsidR="00B9429E">
        <w:t>s</w:t>
      </w:r>
      <w:r w:rsidR="0062572B">
        <w:t xml:space="preserve"> </w:t>
      </w:r>
      <w:r w:rsidR="00334C1F">
        <w:t>nearly al</w:t>
      </w:r>
      <w:r w:rsidR="00DD03F9">
        <w:t>ways open</w:t>
      </w:r>
      <w:r w:rsidR="00092472">
        <w:t xml:space="preserve"> if the other</w:t>
      </w:r>
      <w:r w:rsidR="004B6467">
        <w:t xml:space="preserve"> </w:t>
      </w:r>
      <w:r w:rsidR="00B10B13">
        <w:t>options</w:t>
      </w:r>
      <w:r w:rsidR="00D32D2F">
        <w:t xml:space="preserve"> </w:t>
      </w:r>
      <w:r w:rsidR="00B9285E">
        <w:t>are una</w:t>
      </w:r>
      <w:r w:rsidR="00081FAA">
        <w:t>vailable.</w:t>
      </w:r>
      <w:r w:rsidR="00BA1DDF">
        <w:t xml:space="preserve">  They also offer a take-away </w:t>
      </w:r>
      <w:r w:rsidR="00D32B09">
        <w:t>“start</w:t>
      </w:r>
      <w:r w:rsidR="005C459B">
        <w:t>ing</w:t>
      </w:r>
      <w:r w:rsidR="00D32B09">
        <w:t xml:space="preserve">-out” </w:t>
      </w:r>
      <w:r w:rsidR="00BA1DDF">
        <w:t>coffee and pastry for £3.95.</w:t>
      </w:r>
    </w:p>
    <w:p w14:paraId="26B41C54" w14:textId="53B570E0" w:rsidR="00252F67" w:rsidRDefault="0096335B" w:rsidP="00AB5194">
      <w:pPr>
        <w:spacing w:after="120"/>
        <w:rPr>
          <w:b/>
          <w:bCs/>
        </w:rPr>
      </w:pPr>
      <w:r w:rsidRPr="0096335B">
        <w:rPr>
          <w:b/>
          <w:bCs/>
        </w:rPr>
        <w:t>Pubs with Pilgrim Stamps</w:t>
      </w:r>
    </w:p>
    <w:p w14:paraId="439B3853" w14:textId="1F045AA3" w:rsidR="006023B2" w:rsidRPr="00072C7E" w:rsidRDefault="00072C7E" w:rsidP="00123C29">
      <w:r w:rsidRPr="00072C7E">
        <w:t>In</w:t>
      </w:r>
      <w:r>
        <w:t xml:space="preserve"> addition to many of the churches along the St James’ Way</w:t>
      </w:r>
      <w:r w:rsidR="003D0DA3">
        <w:t>,</w:t>
      </w:r>
      <w:r>
        <w:t xml:space="preserve"> pilgrim stamps can now be </w:t>
      </w:r>
      <w:r w:rsidR="00FC77AB">
        <w:t xml:space="preserve">obtained from the following friendly pubs, </w:t>
      </w:r>
      <w:r w:rsidR="005958B9">
        <w:t>which</w:t>
      </w:r>
      <w:r w:rsidR="00FC77AB">
        <w:t xml:space="preserve"> offer </w:t>
      </w:r>
      <w:r w:rsidR="00950E89">
        <w:t xml:space="preserve">rest, </w:t>
      </w:r>
      <w:r w:rsidR="00CC6481">
        <w:t>refreshments,</w:t>
      </w:r>
      <w:r w:rsidR="00950E89">
        <w:t xml:space="preserve"> and </w:t>
      </w:r>
      <w:r w:rsidR="00FC77AB">
        <w:t>hospita</w:t>
      </w:r>
      <w:r w:rsidR="008C534F">
        <w:t>lity</w:t>
      </w:r>
      <w:r w:rsidR="00FC77AB">
        <w:t>.</w:t>
      </w:r>
    </w:p>
    <w:tbl>
      <w:tblPr>
        <w:tblW w:w="93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0"/>
        <w:gridCol w:w="2674"/>
        <w:gridCol w:w="1843"/>
        <w:gridCol w:w="850"/>
        <w:gridCol w:w="3549"/>
      </w:tblGrid>
      <w:tr w:rsidR="009D7C4B" w:rsidRPr="004723F8" w14:paraId="7A9DAC62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2BC784" w14:textId="77777777" w:rsidR="004723F8" w:rsidRPr="004723F8" w:rsidRDefault="004723F8" w:rsidP="00012F2A">
            <w:pPr>
              <w:spacing w:after="0"/>
              <w:rPr>
                <w:b/>
                <w:bCs/>
              </w:rPr>
            </w:pP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2292096B" w14:textId="77777777" w:rsidR="004723F8" w:rsidRPr="004723F8" w:rsidRDefault="004723F8" w:rsidP="00012F2A">
            <w:pPr>
              <w:spacing w:after="0"/>
              <w:rPr>
                <w:b/>
                <w:bCs/>
              </w:rPr>
            </w:pPr>
            <w:r w:rsidRPr="004723F8">
              <w:rPr>
                <w:b/>
                <w:bCs/>
              </w:rPr>
              <w:t>Pub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800804" w14:textId="77777777" w:rsidR="004723F8" w:rsidRPr="004723F8" w:rsidRDefault="004723F8" w:rsidP="00012F2A">
            <w:pPr>
              <w:spacing w:after="0"/>
              <w:rPr>
                <w:b/>
                <w:bCs/>
              </w:rPr>
            </w:pPr>
            <w:r w:rsidRPr="004723F8">
              <w:rPr>
                <w:b/>
                <w:bCs/>
              </w:rPr>
              <w:t>Location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C0597E" w14:textId="77777777" w:rsidR="004723F8" w:rsidRPr="004723F8" w:rsidRDefault="004723F8" w:rsidP="00012F2A">
            <w:pPr>
              <w:spacing w:after="0"/>
              <w:jc w:val="center"/>
              <w:rPr>
                <w:b/>
                <w:bCs/>
              </w:rPr>
            </w:pPr>
            <w:r w:rsidRPr="004723F8">
              <w:rPr>
                <w:b/>
                <w:bCs/>
              </w:rPr>
              <w:t>Page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F362106" w14:textId="1DD1418D" w:rsidR="004723F8" w:rsidRPr="004723F8" w:rsidRDefault="00CA28C1" w:rsidP="00012F2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723F8" w:rsidRPr="004723F8">
              <w:rPr>
                <w:b/>
                <w:bCs/>
              </w:rPr>
              <w:t>Offers</w:t>
            </w:r>
          </w:p>
        </w:tc>
      </w:tr>
      <w:tr w:rsidR="009D7C4B" w:rsidRPr="004723F8" w14:paraId="4268EB72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DEB1734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EE5D313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Cunning Man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DF47B0" w14:textId="420EA201" w:rsidR="004723F8" w:rsidRPr="004723F8" w:rsidRDefault="004723F8" w:rsidP="009C4B4C">
            <w:pPr>
              <w:spacing w:before="120" w:after="120"/>
            </w:pPr>
            <w:r w:rsidRPr="004723F8">
              <w:t>Burghfield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CDDEDE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18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DEB9968" w14:textId="4D2CC92E" w:rsidR="004723F8" w:rsidRPr="004723F8" w:rsidRDefault="00CA28C1" w:rsidP="009C4B4C">
            <w:pPr>
              <w:spacing w:before="120" w:after="120"/>
            </w:pPr>
            <w:r>
              <w:t xml:space="preserve">  </w:t>
            </w:r>
            <w:r w:rsidR="004723F8" w:rsidRPr="004723F8">
              <w:t>10% discount on both food &amp; drink</w:t>
            </w:r>
          </w:p>
        </w:tc>
      </w:tr>
      <w:tr w:rsidR="009D7C4B" w:rsidRPr="004723F8" w14:paraId="0B3477E1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E1D44E3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3E89573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Fox and Hounds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BA4694" w14:textId="77777777" w:rsidR="004723F8" w:rsidRPr="004723F8" w:rsidRDefault="004723F8" w:rsidP="009C4B4C">
            <w:pPr>
              <w:spacing w:before="120" w:after="120"/>
            </w:pPr>
            <w:r w:rsidRPr="004723F8">
              <w:t>Sheffield Bottom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326186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18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4D42FA3" w14:textId="5ACC0D04" w:rsidR="004723F8" w:rsidRPr="004723F8" w:rsidRDefault="00CA28C1" w:rsidP="009C4B4C">
            <w:pPr>
              <w:spacing w:before="120" w:after="120"/>
            </w:pPr>
            <w:r>
              <w:t xml:space="preserve">  </w:t>
            </w:r>
            <w:r w:rsidR="004723F8" w:rsidRPr="004723F8">
              <w:t>20% discount on food</w:t>
            </w:r>
          </w:p>
        </w:tc>
      </w:tr>
      <w:tr w:rsidR="009D7C4B" w:rsidRPr="004723F8" w14:paraId="610A33FE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E7A95C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3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0591839" w14:textId="6507884A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 xml:space="preserve">Horse </w:t>
            </w:r>
            <w:r w:rsidR="00B2064D">
              <w:rPr>
                <w:b/>
                <w:bCs/>
              </w:rPr>
              <w:t>&amp;</w:t>
            </w:r>
            <w:r w:rsidRPr="004723F8">
              <w:rPr>
                <w:b/>
                <w:bCs/>
              </w:rPr>
              <w:t xml:space="preserve"> Groom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030877" w14:textId="77777777" w:rsidR="004723F8" w:rsidRPr="004723F8" w:rsidRDefault="004723F8" w:rsidP="009C4B4C">
            <w:pPr>
              <w:spacing w:before="120" w:after="120"/>
            </w:pPr>
            <w:r w:rsidRPr="004723F8">
              <w:t>Mortimer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689B31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21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816781A" w14:textId="392348F0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1E8055A1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F797A1A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4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524E27B0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Queens College Arms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556887" w14:textId="77777777" w:rsidR="004723F8" w:rsidRPr="004723F8" w:rsidRDefault="004723F8" w:rsidP="009C4B4C">
            <w:pPr>
              <w:spacing w:before="120" w:after="120"/>
            </w:pPr>
            <w:r w:rsidRPr="004723F8">
              <w:t>Pamber End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97B180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26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48146A6" w14:textId="20CFD5AC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052E276E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61B6C3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5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BAD364D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Queen Inn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8EB30" w14:textId="77777777" w:rsidR="004723F8" w:rsidRPr="004723F8" w:rsidRDefault="004723F8" w:rsidP="009C4B4C">
            <w:pPr>
              <w:spacing w:before="120" w:after="120"/>
            </w:pPr>
            <w:r w:rsidRPr="004723F8">
              <w:t>Dummer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33414A" w14:textId="459BEBC4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31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D5C9E35" w14:textId="74EC7A38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51423F68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AB6813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6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8C474D3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Purefoy Arms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C286E9" w14:textId="77777777" w:rsidR="004723F8" w:rsidRPr="004723F8" w:rsidRDefault="004723F8" w:rsidP="009C4B4C">
            <w:pPr>
              <w:spacing w:before="120" w:after="120"/>
            </w:pPr>
            <w:r w:rsidRPr="004723F8">
              <w:t>Preston Candover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BE84B2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32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FF55172" w14:textId="30546124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25D2DF34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5874D13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7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62A4B900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Horse &amp; Groom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5A32CD" w14:textId="77777777" w:rsidR="004723F8" w:rsidRPr="004723F8" w:rsidRDefault="004723F8" w:rsidP="009C4B4C">
            <w:pPr>
              <w:spacing w:before="120" w:after="120"/>
            </w:pPr>
            <w:r w:rsidRPr="004723F8">
              <w:t>New Alresford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5BE1B3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34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6EE7A34" w14:textId="655C30DC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019B3FF5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C99E37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8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42C77308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Bush Inn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94C595" w14:textId="77777777" w:rsidR="004723F8" w:rsidRPr="004723F8" w:rsidRDefault="004723F8" w:rsidP="009C4B4C">
            <w:pPr>
              <w:spacing w:before="120" w:after="120"/>
            </w:pPr>
            <w:r w:rsidRPr="004723F8">
              <w:t>Ovington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6CD07F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36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F87A394" w14:textId="04217AA2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21728730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F14FA7" w14:textId="7777777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9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389959B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Plough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3D3BBE" w14:textId="77777777" w:rsidR="004723F8" w:rsidRPr="004723F8" w:rsidRDefault="004723F8" w:rsidP="009C4B4C">
            <w:pPr>
              <w:spacing w:before="120" w:after="120"/>
            </w:pPr>
            <w:r w:rsidRPr="004723F8">
              <w:t>Itchen Abbas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29B919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38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3AEBC17" w14:textId="604B9FEE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40868BF5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1B90531" w14:textId="4B318E27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10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720910F3" w14:textId="617E5F65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King Alfred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DC268C" w14:textId="77777777" w:rsidR="004723F8" w:rsidRPr="004723F8" w:rsidRDefault="004723F8" w:rsidP="009C4B4C">
            <w:pPr>
              <w:spacing w:before="120" w:after="120"/>
            </w:pPr>
            <w:r w:rsidRPr="004723F8">
              <w:t>Hyde, Winchester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BFB4D4" w14:textId="77777777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40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D891F66" w14:textId="58172A41" w:rsidR="004723F8" w:rsidRPr="004723F8" w:rsidRDefault="004723F8" w:rsidP="009C4B4C">
            <w:pPr>
              <w:spacing w:before="120" w:after="120"/>
            </w:pPr>
          </w:p>
        </w:tc>
      </w:tr>
      <w:tr w:rsidR="009D7C4B" w:rsidRPr="004723F8" w14:paraId="1D499CFB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B4123F" w14:textId="2947E369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11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B2C9F01" w14:textId="0499225B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Bridge Inn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DCB1F8" w14:textId="232AFCF4" w:rsidR="004723F8" w:rsidRPr="004723F8" w:rsidRDefault="004723F8" w:rsidP="009C4B4C">
            <w:pPr>
              <w:spacing w:before="120" w:after="120"/>
            </w:pPr>
            <w:r w:rsidRPr="004723F8">
              <w:t>Shawford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A4514F" w14:textId="22AD62E5" w:rsidR="004723F8" w:rsidRPr="004723F8" w:rsidRDefault="004723F8" w:rsidP="009C4B4C">
            <w:pPr>
              <w:spacing w:before="120" w:after="120"/>
              <w:jc w:val="center"/>
            </w:pPr>
            <w:r w:rsidRPr="004723F8">
              <w:t>46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4D011D9" w14:textId="0FF9B458" w:rsidR="004723F8" w:rsidRPr="004723F8" w:rsidRDefault="00B37A12" w:rsidP="009C4B4C">
            <w:pPr>
              <w:spacing w:before="120" w:after="120"/>
            </w:pPr>
            <w:r>
              <w:t xml:space="preserve">  </w:t>
            </w:r>
            <w:r w:rsidRPr="004723F8">
              <w:t>10% discount on food</w:t>
            </w:r>
          </w:p>
        </w:tc>
      </w:tr>
      <w:tr w:rsidR="009D7C4B" w:rsidRPr="004723F8" w14:paraId="7992CFB8" w14:textId="77777777" w:rsidTr="00B861D0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C181949" w14:textId="7931509E" w:rsidR="004723F8" w:rsidRPr="004723F8" w:rsidRDefault="004723F8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12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338EBFAA" w14:textId="77777777" w:rsidR="004723F8" w:rsidRPr="004723F8" w:rsidRDefault="004723F8" w:rsidP="009C4B4C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>The Junction Inn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BB4CD" w14:textId="5E8738F6" w:rsidR="004723F8" w:rsidRPr="004723F8" w:rsidRDefault="004723F8" w:rsidP="009C4B4C">
            <w:pPr>
              <w:spacing w:before="120" w:after="120"/>
            </w:pPr>
            <w:r w:rsidRPr="004723F8">
              <w:t>Southampton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33E05D" w14:textId="4762010B" w:rsidR="004723F8" w:rsidRPr="004723F8" w:rsidRDefault="00B44B45" w:rsidP="009C4B4C">
            <w:pPr>
              <w:spacing w:before="120" w:after="120"/>
              <w:jc w:val="center"/>
            </w:pPr>
            <w:r>
              <w:t>47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C32F2A0" w14:textId="756E13F2" w:rsidR="004723F8" w:rsidRPr="004723F8" w:rsidRDefault="004723F8" w:rsidP="009C4B4C">
            <w:pPr>
              <w:spacing w:before="120" w:after="120"/>
            </w:pPr>
          </w:p>
        </w:tc>
      </w:tr>
      <w:tr w:rsidR="00817D0D" w:rsidRPr="004723F8" w14:paraId="43AA0158" w14:textId="77777777" w:rsidTr="00817D0D">
        <w:trPr>
          <w:trHeight w:val="3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37BFC1" w14:textId="1FE96DB6" w:rsidR="00817D0D" w:rsidRPr="004723F8" w:rsidRDefault="00817D0D" w:rsidP="009C4B4C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13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14:paraId="78014A1B" w14:textId="77777777" w:rsidR="00817D0D" w:rsidRPr="004723F8" w:rsidRDefault="00817D0D" w:rsidP="004505F6">
            <w:pPr>
              <w:spacing w:before="120" w:after="120"/>
            </w:pPr>
            <w:r>
              <w:rPr>
                <w:b/>
                <w:bCs/>
              </w:rPr>
              <w:t xml:space="preserve">The </w:t>
            </w:r>
            <w:r w:rsidRPr="004723F8">
              <w:rPr>
                <w:b/>
                <w:bCs/>
              </w:rPr>
              <w:t>Duke of Wellington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2095B" w14:textId="5EAE9CCF" w:rsidR="00817D0D" w:rsidRPr="004723F8" w:rsidRDefault="00817D0D" w:rsidP="004505F6">
            <w:pPr>
              <w:spacing w:before="120" w:after="120"/>
            </w:pPr>
            <w:r w:rsidRPr="004723F8">
              <w:t>Southampton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1D92B1" w14:textId="1F3D72A6" w:rsidR="00817D0D" w:rsidRPr="004723F8" w:rsidRDefault="00817D0D" w:rsidP="009C4B4C">
            <w:pPr>
              <w:spacing w:before="120" w:after="120"/>
              <w:jc w:val="center"/>
            </w:pPr>
            <w:r>
              <w:t>5</w:t>
            </w:r>
            <w:r w:rsidRPr="004723F8">
              <w:t>1</w:t>
            </w:r>
          </w:p>
        </w:tc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C9177B5" w14:textId="679B20D0" w:rsidR="00817D0D" w:rsidRPr="004723F8" w:rsidRDefault="00817D0D" w:rsidP="009C4B4C">
            <w:pPr>
              <w:spacing w:before="120" w:after="120"/>
            </w:pPr>
            <w:r>
              <w:t xml:space="preserve">  </w:t>
            </w:r>
            <w:r w:rsidRPr="004723F8">
              <w:t>20% discount on food</w:t>
            </w:r>
          </w:p>
        </w:tc>
      </w:tr>
    </w:tbl>
    <w:p w14:paraId="43E80F79" w14:textId="3509C8E2" w:rsidR="009D541A" w:rsidRPr="000E540B" w:rsidRDefault="009D541A" w:rsidP="00012F2A">
      <w:pPr>
        <w:spacing w:after="0"/>
      </w:pPr>
    </w:p>
    <w:p w14:paraId="45913217" w14:textId="1BAFCC1A" w:rsidR="00434F4A" w:rsidRPr="00170AAF" w:rsidRDefault="00434F4A" w:rsidP="00C33E79">
      <w:pPr>
        <w:rPr>
          <w:b/>
          <w:bCs/>
        </w:rPr>
      </w:pPr>
      <w:r w:rsidRPr="00170AAF">
        <w:rPr>
          <w:b/>
          <w:bCs/>
        </w:rPr>
        <w:t xml:space="preserve">Other </w:t>
      </w:r>
      <w:r w:rsidR="00C21DEB">
        <w:rPr>
          <w:b/>
          <w:bCs/>
        </w:rPr>
        <w:t xml:space="preserve">New </w:t>
      </w:r>
      <w:r w:rsidR="00F862AA">
        <w:rPr>
          <w:b/>
          <w:bCs/>
        </w:rPr>
        <w:t>Places</w:t>
      </w:r>
      <w:r w:rsidR="00170AAF" w:rsidRPr="00170AAF">
        <w:rPr>
          <w:b/>
          <w:bCs/>
        </w:rPr>
        <w:t xml:space="preserve"> with Pilgrim Stamps</w:t>
      </w:r>
    </w:p>
    <w:tbl>
      <w:tblPr>
        <w:tblW w:w="93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0"/>
        <w:gridCol w:w="2674"/>
        <w:gridCol w:w="1843"/>
        <w:gridCol w:w="850"/>
        <w:gridCol w:w="3549"/>
      </w:tblGrid>
      <w:tr w:rsidR="00CB2A9B" w:rsidRPr="004723F8" w14:paraId="6F62F53E" w14:textId="77777777" w:rsidTr="005417D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2CE24C1" w14:textId="77777777" w:rsidR="00CB2A9B" w:rsidRPr="004723F8" w:rsidRDefault="00CB2A9B" w:rsidP="005417D4">
            <w:pPr>
              <w:spacing w:after="0"/>
              <w:rPr>
                <w:b/>
                <w:bCs/>
              </w:rPr>
            </w:pP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4964DD79" w14:textId="5F8AE6C4" w:rsidR="00CB2A9B" w:rsidRPr="004723F8" w:rsidRDefault="00F862AA" w:rsidP="005417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91513C" w14:textId="77777777" w:rsidR="00CB2A9B" w:rsidRPr="004723F8" w:rsidRDefault="00CB2A9B" w:rsidP="005417D4">
            <w:pPr>
              <w:spacing w:after="0"/>
              <w:rPr>
                <w:b/>
                <w:bCs/>
              </w:rPr>
            </w:pPr>
            <w:r w:rsidRPr="004723F8">
              <w:rPr>
                <w:b/>
                <w:bCs/>
              </w:rPr>
              <w:t>Location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E64251" w14:textId="77777777" w:rsidR="00CB2A9B" w:rsidRPr="004723F8" w:rsidRDefault="00CB2A9B" w:rsidP="005417D4">
            <w:pPr>
              <w:spacing w:after="0"/>
              <w:jc w:val="center"/>
              <w:rPr>
                <w:b/>
                <w:bCs/>
              </w:rPr>
            </w:pPr>
            <w:r w:rsidRPr="004723F8">
              <w:rPr>
                <w:b/>
                <w:bCs/>
              </w:rPr>
              <w:t>Page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E8AD6E5" w14:textId="77777777" w:rsidR="00CB2A9B" w:rsidRPr="004723F8" w:rsidRDefault="00CB2A9B" w:rsidP="005417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723F8">
              <w:rPr>
                <w:b/>
                <w:bCs/>
              </w:rPr>
              <w:t>Offers</w:t>
            </w:r>
          </w:p>
        </w:tc>
      </w:tr>
      <w:tr w:rsidR="00CB2A9B" w:rsidRPr="004723F8" w14:paraId="3FD17A93" w14:textId="77777777" w:rsidTr="005417D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673480" w14:textId="77777777" w:rsidR="00CB2A9B" w:rsidRPr="004723F8" w:rsidRDefault="00CB2A9B" w:rsidP="00E37AF7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1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0C55D869" w14:textId="02703643" w:rsidR="00CB2A9B" w:rsidRPr="004723F8" w:rsidRDefault="00CB2A9B" w:rsidP="00E37AF7">
            <w:pPr>
              <w:spacing w:before="120" w:after="120"/>
              <w:rPr>
                <w:b/>
                <w:bCs/>
              </w:rPr>
            </w:pPr>
            <w:r w:rsidRPr="004723F8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B</w:t>
            </w:r>
            <w:r w:rsidR="00ED43D4">
              <w:rPr>
                <w:b/>
                <w:bCs/>
              </w:rPr>
              <w:t>a</w:t>
            </w:r>
            <w:r>
              <w:rPr>
                <w:b/>
                <w:bCs/>
              </w:rPr>
              <w:t>obab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BF9AD" w14:textId="4F8858F7" w:rsidR="00CB2A9B" w:rsidRPr="004723F8" w:rsidRDefault="00F862AA" w:rsidP="00E37AF7">
            <w:pPr>
              <w:spacing w:before="120" w:after="120"/>
            </w:pPr>
            <w:r>
              <w:t>Mortimer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865144" w14:textId="46988089" w:rsidR="00CB2A9B" w:rsidRPr="004723F8" w:rsidRDefault="00BB2D59" w:rsidP="00E37AF7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6E87B5E" w14:textId="73EA8041" w:rsidR="00CB2A9B" w:rsidRPr="009B6110" w:rsidRDefault="007F123C" w:rsidP="00E37AF7">
            <w:pPr>
              <w:spacing w:before="120" w:after="120"/>
              <w:rPr>
                <w:highlight w:val="yellow"/>
              </w:rPr>
            </w:pPr>
            <w:r w:rsidRPr="0050191D">
              <w:t xml:space="preserve">  10%</w:t>
            </w:r>
            <w:r w:rsidR="00324D38" w:rsidRPr="0050191D">
              <w:t xml:space="preserve"> </w:t>
            </w:r>
            <w:r w:rsidR="00195AF6">
              <w:t>off “Camino cuppa”</w:t>
            </w:r>
            <w:r w:rsidR="0050191D" w:rsidRPr="0050191D">
              <w:t xml:space="preserve"> hot drink</w:t>
            </w:r>
          </w:p>
        </w:tc>
      </w:tr>
      <w:tr w:rsidR="00CB2A9B" w:rsidRPr="004723F8" w14:paraId="448833C2" w14:textId="77777777" w:rsidTr="005417D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58206F" w14:textId="77777777" w:rsidR="00CB2A9B" w:rsidRPr="004723F8" w:rsidRDefault="00CB2A9B" w:rsidP="00E37AF7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2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69E123A7" w14:textId="4AD9EC1C" w:rsidR="00CB2A9B" w:rsidRPr="004723F8" w:rsidRDefault="00F862AA" w:rsidP="00E37AF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Swan Hotel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21BBFE" w14:textId="4215D9B3" w:rsidR="00CB2A9B" w:rsidRPr="004723F8" w:rsidRDefault="00F862AA" w:rsidP="00E37AF7">
            <w:pPr>
              <w:spacing w:before="120" w:after="120"/>
            </w:pPr>
            <w:r>
              <w:t>New Alresford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3608EB" w14:textId="7D2AC8D7" w:rsidR="00CB2A9B" w:rsidRPr="004723F8" w:rsidRDefault="00F05848" w:rsidP="00E37AF7">
            <w:pPr>
              <w:spacing w:before="120" w:after="120"/>
              <w:jc w:val="center"/>
            </w:pPr>
            <w:r>
              <w:t>34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E00ECC6" w14:textId="2766DC63" w:rsidR="00CB2A9B" w:rsidRPr="009B6110" w:rsidRDefault="00CB2A9B" w:rsidP="00E37AF7">
            <w:pPr>
              <w:spacing w:before="120" w:after="120"/>
              <w:rPr>
                <w:highlight w:val="yellow"/>
              </w:rPr>
            </w:pPr>
          </w:p>
        </w:tc>
      </w:tr>
      <w:tr w:rsidR="00CB2A9B" w:rsidRPr="004723F8" w14:paraId="51C22799" w14:textId="77777777" w:rsidTr="005417D4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8366C6C" w14:textId="77777777" w:rsidR="00CB2A9B" w:rsidRPr="004723F8" w:rsidRDefault="00CB2A9B" w:rsidP="00E37AF7">
            <w:pPr>
              <w:spacing w:before="120" w:after="120"/>
              <w:rPr>
                <w:i/>
                <w:iCs/>
              </w:rPr>
            </w:pPr>
            <w:r w:rsidRPr="004723F8">
              <w:rPr>
                <w:i/>
                <w:iCs/>
              </w:rPr>
              <w:t>3</w:t>
            </w:r>
          </w:p>
        </w:tc>
        <w:tc>
          <w:tcPr>
            <w:tcW w:w="2674" w:type="dxa"/>
            <w:shd w:val="clear" w:color="auto" w:fill="auto"/>
            <w:noWrap/>
            <w:vAlign w:val="bottom"/>
            <w:hideMark/>
          </w:tcPr>
          <w:p w14:paraId="1AEA4800" w14:textId="73B126C0" w:rsidR="00CB2A9B" w:rsidRPr="004723F8" w:rsidRDefault="00F862AA" w:rsidP="00E37AF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Winchester City Museum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D8D688" w14:textId="3180452A" w:rsidR="00CB2A9B" w:rsidRPr="004723F8" w:rsidRDefault="00F862AA" w:rsidP="00E37AF7">
            <w:pPr>
              <w:spacing w:before="120" w:after="120"/>
            </w:pPr>
            <w:r>
              <w:t>Winchester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AAF188" w14:textId="41ABCBFE" w:rsidR="00CB2A9B" w:rsidRPr="004723F8" w:rsidRDefault="00DD40E9" w:rsidP="00E37AF7">
            <w:pPr>
              <w:spacing w:before="120" w:after="120"/>
              <w:jc w:val="center"/>
            </w:pPr>
            <w:r>
              <w:t>41</w:t>
            </w:r>
          </w:p>
        </w:tc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600A4E1" w14:textId="6D27E020" w:rsidR="00CB2A9B" w:rsidRPr="009B6110" w:rsidRDefault="00031676" w:rsidP="00E37AF7">
            <w:pPr>
              <w:spacing w:before="120" w:after="120"/>
              <w:rPr>
                <w:highlight w:val="yellow"/>
              </w:rPr>
            </w:pPr>
            <w:r w:rsidRPr="009B6110">
              <w:rPr>
                <w:highlight w:val="yellow"/>
              </w:rPr>
              <w:t>?</w:t>
            </w:r>
          </w:p>
        </w:tc>
      </w:tr>
    </w:tbl>
    <w:p w14:paraId="38418273" w14:textId="77777777" w:rsidR="00170AAF" w:rsidRDefault="00170AAF" w:rsidP="00012F2A">
      <w:pPr>
        <w:spacing w:after="0"/>
      </w:pPr>
    </w:p>
    <w:p w14:paraId="2B2A1E60" w14:textId="6953D763" w:rsidR="0030538F" w:rsidRPr="00FD2E45" w:rsidRDefault="007F03AD" w:rsidP="00FD2E45">
      <w:pPr>
        <w:spacing w:after="120"/>
        <w:rPr>
          <w:i/>
          <w:iCs/>
        </w:rPr>
      </w:pPr>
      <w:r w:rsidRPr="004723F8">
        <w:rPr>
          <w:b/>
          <w:bCs/>
        </w:rPr>
        <w:t xml:space="preserve">The </w:t>
      </w:r>
      <w:r>
        <w:rPr>
          <w:b/>
          <w:bCs/>
        </w:rPr>
        <w:t>Baobab</w:t>
      </w:r>
      <w:r w:rsidR="00760738" w:rsidRPr="00FD2E45">
        <w:rPr>
          <w:i/>
          <w:iCs/>
        </w:rPr>
        <w:tab/>
      </w:r>
      <w:r w:rsidR="00874646">
        <w:rPr>
          <w:i/>
          <w:iCs/>
        </w:rPr>
        <w:tab/>
      </w:r>
      <w:r w:rsidR="00760738" w:rsidRPr="00FD2E45">
        <w:rPr>
          <w:i/>
          <w:iCs/>
        </w:rPr>
        <w:t xml:space="preserve">page </w:t>
      </w:r>
      <w:r w:rsidR="006F461B" w:rsidRPr="00FD2E45">
        <w:rPr>
          <w:i/>
          <w:iCs/>
        </w:rPr>
        <w:t>21</w:t>
      </w:r>
      <w:r w:rsidR="00760738" w:rsidRPr="00FD2E45">
        <w:rPr>
          <w:i/>
          <w:iCs/>
        </w:rPr>
        <w:t xml:space="preserve"> addition</w:t>
      </w:r>
      <w:r w:rsidR="006F461B" w:rsidRPr="00FD2E45">
        <w:rPr>
          <w:i/>
          <w:iCs/>
        </w:rPr>
        <w:t>:</w:t>
      </w:r>
    </w:p>
    <w:p w14:paraId="0F090C8E" w14:textId="7EEFCD4F" w:rsidR="007F03AD" w:rsidRDefault="00BD3EDE" w:rsidP="00FE3191">
      <w:r>
        <w:t>Found at the start of West End Road</w:t>
      </w:r>
      <w:r w:rsidR="005958B9">
        <w:t xml:space="preserve">, </w:t>
      </w:r>
      <w:r w:rsidR="00F44193">
        <w:t xml:space="preserve">The Baobab </w:t>
      </w:r>
      <w:r w:rsidR="00874646">
        <w:t>gift shop se</w:t>
      </w:r>
      <w:r w:rsidR="00454469">
        <w:t>rves</w:t>
      </w:r>
      <w:r w:rsidR="00874646">
        <w:t xml:space="preserve"> </w:t>
      </w:r>
      <w:r w:rsidR="0066112D">
        <w:t>“</w:t>
      </w:r>
      <w:r w:rsidR="00567D1A">
        <w:t xml:space="preserve">a </w:t>
      </w:r>
      <w:r w:rsidR="0066112D">
        <w:t xml:space="preserve">Camino cuppa” </w:t>
      </w:r>
      <w:r w:rsidR="00476E4A">
        <w:t xml:space="preserve">hot drink </w:t>
      </w:r>
      <w:r w:rsidR="00822F56">
        <w:t xml:space="preserve">and </w:t>
      </w:r>
      <w:r w:rsidR="00567D1A">
        <w:t>offers</w:t>
      </w:r>
      <w:r w:rsidR="00454469">
        <w:t xml:space="preserve"> </w:t>
      </w:r>
      <w:r w:rsidR="001071A4">
        <w:t xml:space="preserve">local </w:t>
      </w:r>
      <w:r w:rsidR="00245D62">
        <w:t>O</w:t>
      </w:r>
      <w:r w:rsidR="00C553D2">
        <w:t xml:space="preserve">rdnance </w:t>
      </w:r>
      <w:r w:rsidR="00245D62">
        <w:t>S</w:t>
      </w:r>
      <w:r w:rsidR="00C553D2">
        <w:t>urvey</w:t>
      </w:r>
      <w:r w:rsidR="00245D62">
        <w:t xml:space="preserve"> map</w:t>
      </w:r>
      <w:r w:rsidR="00567D1A">
        <w:t xml:space="preserve"> and jig</w:t>
      </w:r>
      <w:r w:rsidR="00004B6C">
        <w:t xml:space="preserve">-saw puzzle </w:t>
      </w:r>
      <w:r w:rsidR="00F347DB">
        <w:t xml:space="preserve">excerpts </w:t>
      </w:r>
      <w:r w:rsidR="00245D62">
        <w:t xml:space="preserve">with the </w:t>
      </w:r>
      <w:r w:rsidR="00C553D2">
        <w:t>‘</w:t>
      </w:r>
      <w:r w:rsidR="00245D62">
        <w:t>St J</w:t>
      </w:r>
      <w:r w:rsidR="00C553D2">
        <w:t xml:space="preserve">ames’ Way’ </w:t>
      </w:r>
      <w:r w:rsidR="00F347DB">
        <w:t xml:space="preserve">route </w:t>
      </w:r>
      <w:r w:rsidR="00C553D2">
        <w:t>marked on them</w:t>
      </w:r>
      <w:r w:rsidR="00454469">
        <w:t>.  It’s o</w:t>
      </w:r>
      <w:r w:rsidR="000E3874">
        <w:t xml:space="preserve">pen </w:t>
      </w:r>
      <w:r w:rsidR="003C6E1C">
        <w:t>Mon to Fri</w:t>
      </w:r>
      <w:r w:rsidR="008F6730">
        <w:t xml:space="preserve">, </w:t>
      </w:r>
      <w:r w:rsidR="000E3874">
        <w:t>9</w:t>
      </w:r>
      <w:r w:rsidR="008F6730">
        <w:t xml:space="preserve">am – 5:30pm and Sat 9am </w:t>
      </w:r>
      <w:r w:rsidR="006F5FB0">
        <w:t>– 1pm.</w:t>
      </w:r>
    </w:p>
    <w:p w14:paraId="08704AC3" w14:textId="5F08FD11" w:rsidR="007F03AD" w:rsidRPr="00FE3191" w:rsidRDefault="00726917" w:rsidP="00FE3191">
      <w:pPr>
        <w:spacing w:after="120"/>
        <w:rPr>
          <w:i/>
          <w:iCs/>
        </w:rPr>
      </w:pPr>
      <w:r>
        <w:rPr>
          <w:b/>
          <w:bCs/>
        </w:rPr>
        <w:t>Winchester City Museum</w:t>
      </w:r>
      <w:r w:rsidR="00760738" w:rsidRPr="00FE3191">
        <w:rPr>
          <w:i/>
          <w:iCs/>
        </w:rPr>
        <w:tab/>
        <w:t>page 41 addition:</w:t>
      </w:r>
    </w:p>
    <w:p w14:paraId="47C8874F" w14:textId="703C33BC" w:rsidR="00F479D3" w:rsidRPr="0057258B" w:rsidRDefault="008E1BEE" w:rsidP="00F01B7A">
      <w:pPr>
        <w:spacing w:after="120"/>
      </w:pPr>
      <w:r>
        <w:t>L</w:t>
      </w:r>
      <w:r w:rsidR="00033582" w:rsidRPr="00994A85">
        <w:t xml:space="preserve">ocated </w:t>
      </w:r>
      <w:r w:rsidR="003C2BDD" w:rsidRPr="00994A85">
        <w:t>in the heart of the historic city of Winchester</w:t>
      </w:r>
      <w:r>
        <w:t xml:space="preserve"> </w:t>
      </w:r>
      <w:r w:rsidR="001014B1">
        <w:t xml:space="preserve">on </w:t>
      </w:r>
      <w:r w:rsidRPr="00994A85">
        <w:t xml:space="preserve">the </w:t>
      </w:r>
      <w:r>
        <w:t xml:space="preserve">St James’ Way </w:t>
      </w:r>
      <w:r w:rsidRPr="00994A85">
        <w:t xml:space="preserve">route </w:t>
      </w:r>
      <w:r w:rsidR="001014B1">
        <w:t xml:space="preserve">as it </w:t>
      </w:r>
      <w:r w:rsidRPr="00994A85">
        <w:t>enters the Cathedral grounds</w:t>
      </w:r>
      <w:r w:rsidR="00AC7A2E" w:rsidRPr="00994A85">
        <w:t>,</w:t>
      </w:r>
      <w:r w:rsidR="006E3B28" w:rsidRPr="00994A85">
        <w:t xml:space="preserve"> </w:t>
      </w:r>
      <w:r w:rsidR="003C2BDD" w:rsidRPr="00994A85">
        <w:t>City Museum tells the story of England’s ancient capital, the seat of Alfred the Great</w:t>
      </w:r>
      <w:r w:rsidR="00AC7A2E" w:rsidRPr="00994A85">
        <w:t xml:space="preserve">.  </w:t>
      </w:r>
      <w:r w:rsidR="00702684" w:rsidRPr="00994A85">
        <w:t xml:space="preserve">Open </w:t>
      </w:r>
      <w:r w:rsidR="00994A85" w:rsidRPr="00994A85">
        <w:t>everyday</w:t>
      </w:r>
      <w:r w:rsidR="00702684" w:rsidRPr="00994A85">
        <w:t xml:space="preserve"> </w:t>
      </w:r>
      <w:r w:rsidR="00D05747" w:rsidRPr="00994A85">
        <w:t xml:space="preserve">bar Monday, </w:t>
      </w:r>
      <w:r w:rsidR="00702684" w:rsidRPr="00994A85">
        <w:t>from 10</w:t>
      </w:r>
      <w:r w:rsidR="00D05747" w:rsidRPr="00994A85">
        <w:t>am to 4pm</w:t>
      </w:r>
      <w:r w:rsidR="00A62300" w:rsidRPr="00994A85">
        <w:t xml:space="preserve"> and</w:t>
      </w:r>
      <w:r w:rsidR="006C5D3C" w:rsidRPr="00994A85">
        <w:t xml:space="preserve"> from 11am on Sunday, for</w:t>
      </w:r>
      <w:r w:rsidR="00A07EFE">
        <w:t xml:space="preserve"> a</w:t>
      </w:r>
      <w:r w:rsidR="006C5D3C" w:rsidRPr="00994A85">
        <w:t xml:space="preserve"> small annual admission </w:t>
      </w:r>
      <w:r w:rsidR="00994A85" w:rsidRPr="00994A85">
        <w:t xml:space="preserve">this museum </w:t>
      </w:r>
      <w:r w:rsidR="00D01078" w:rsidRPr="00994A85">
        <w:t>is worth a visit.</w:t>
      </w:r>
    </w:p>
    <w:p w14:paraId="418E407F" w14:textId="13CC7EBB" w:rsidR="00994A85" w:rsidRDefault="00A34130" w:rsidP="00F01B7A">
      <w:pPr>
        <w:spacing w:after="120"/>
      </w:pPr>
      <w:r>
        <w:t>A</w:t>
      </w:r>
      <w:r w:rsidR="009D4A73">
        <w:t xml:space="preserve"> brilliant audio introduction </w:t>
      </w:r>
      <w:r w:rsidR="00CE37DE">
        <w:t xml:space="preserve">about </w:t>
      </w:r>
      <w:r w:rsidR="009D4A73">
        <w:t xml:space="preserve">to </w:t>
      </w:r>
      <w:r w:rsidR="00A64AB2">
        <w:t xml:space="preserve">what </w:t>
      </w:r>
      <w:r w:rsidR="009D4A73">
        <w:t>the city</w:t>
      </w:r>
      <w:r w:rsidR="00C1388B">
        <w:t xml:space="preserve"> </w:t>
      </w:r>
      <w:r w:rsidR="00482233">
        <w:t xml:space="preserve">holds </w:t>
      </w:r>
      <w:r w:rsidR="00AC076D">
        <w:t xml:space="preserve">is heard and seen through </w:t>
      </w:r>
      <w:r w:rsidR="0057258B" w:rsidRPr="0057258B">
        <w:t xml:space="preserve">the Winchester Model, a </w:t>
      </w:r>
      <w:r w:rsidR="004C6CC5" w:rsidRPr="0057258B">
        <w:t>breath-taking</w:t>
      </w:r>
      <w:r w:rsidR="0057258B" w:rsidRPr="0057258B">
        <w:t xml:space="preserve"> scale model of the city in Victorian times</w:t>
      </w:r>
      <w:r w:rsidR="00482233">
        <w:t xml:space="preserve">.  </w:t>
      </w:r>
      <w:r w:rsidR="00861659">
        <w:t xml:space="preserve">On </w:t>
      </w:r>
      <w:r w:rsidR="00F0230A">
        <w:t>its first</w:t>
      </w:r>
      <w:r w:rsidR="002C2E60">
        <w:t xml:space="preserve"> </w:t>
      </w:r>
      <w:r w:rsidR="00F0230A">
        <w:t>floor</w:t>
      </w:r>
      <w:r w:rsidR="002C2E60">
        <w:t>,</w:t>
      </w:r>
      <w:r w:rsidR="00D01078" w:rsidRPr="00994A85">
        <w:t xml:space="preserve"> </w:t>
      </w:r>
      <w:r w:rsidR="00C87E4C">
        <w:t xml:space="preserve">exhibit 14 </w:t>
      </w:r>
      <w:r w:rsidR="00F0230A" w:rsidRPr="00F0230A">
        <w:rPr>
          <w:highlight w:val="yellow"/>
        </w:rPr>
        <w:t>…</w:t>
      </w:r>
      <w:r w:rsidR="00F0230A">
        <w:t xml:space="preserve"> </w:t>
      </w:r>
      <w:r w:rsidR="00D37093">
        <w:t xml:space="preserve">is of </w:t>
      </w:r>
      <w:r w:rsidR="009D664F">
        <w:t xml:space="preserve">pilgrim’s </w:t>
      </w:r>
      <w:r w:rsidR="007F29E7">
        <w:t xml:space="preserve">scallop </w:t>
      </w:r>
      <w:r w:rsidR="00D37093">
        <w:t xml:space="preserve">shell </w:t>
      </w:r>
      <w:r w:rsidR="0013458B">
        <w:t>on his way to Santiago.</w:t>
      </w:r>
    </w:p>
    <w:p w14:paraId="38A65DB7" w14:textId="07BA8539" w:rsidR="009D541A" w:rsidRPr="00D6461A" w:rsidRDefault="009D541A" w:rsidP="00AB5194">
      <w:pPr>
        <w:spacing w:after="120"/>
        <w:rPr>
          <w:b/>
          <w:bCs/>
        </w:rPr>
      </w:pPr>
      <w:r w:rsidRPr="00D6461A">
        <w:rPr>
          <w:b/>
          <w:bCs/>
        </w:rPr>
        <w:t xml:space="preserve">Pilgrim </w:t>
      </w:r>
      <w:r w:rsidR="00463563">
        <w:rPr>
          <w:b/>
          <w:bCs/>
        </w:rPr>
        <w:t>Certifi</w:t>
      </w:r>
      <w:r w:rsidR="004E41D0">
        <w:rPr>
          <w:b/>
          <w:bCs/>
        </w:rPr>
        <w:t xml:space="preserve">cate, Badge </w:t>
      </w:r>
      <w:r w:rsidR="00CE0400">
        <w:rPr>
          <w:b/>
          <w:bCs/>
        </w:rPr>
        <w:t>&amp; Last Stamp</w:t>
      </w:r>
      <w:r>
        <w:rPr>
          <w:b/>
          <w:bCs/>
        </w:rPr>
        <w:tab/>
      </w:r>
      <w:r w:rsidRPr="00BB7D4D">
        <w:tab/>
      </w:r>
      <w:r>
        <w:rPr>
          <w:i/>
          <w:iCs/>
        </w:rPr>
        <w:t>pa</w:t>
      </w:r>
      <w:r w:rsidRPr="008E126A">
        <w:rPr>
          <w:i/>
          <w:iCs/>
        </w:rPr>
        <w:t>ge 48 addition:</w:t>
      </w:r>
    </w:p>
    <w:p w14:paraId="55F04108" w14:textId="77777777" w:rsidR="00B0500A" w:rsidRDefault="004E7CB0" w:rsidP="005C6A39">
      <w:pPr>
        <w:spacing w:after="120"/>
      </w:pPr>
      <w:r>
        <w:t xml:space="preserve">A certificate, the </w:t>
      </w:r>
      <w:r w:rsidRPr="003741D5">
        <w:rPr>
          <w:b/>
          <w:bCs/>
        </w:rPr>
        <w:t>Via de Sanctus Iacobus</w:t>
      </w:r>
      <w:r>
        <w:t>, and</w:t>
      </w:r>
      <w:r w:rsidR="009565D5">
        <w:t>/or</w:t>
      </w:r>
      <w:r>
        <w:t xml:space="preserve"> a badge may be obtained for a small fee to acknowledge your completion of the St James’ Way </w:t>
      </w:r>
      <w:r w:rsidR="001536F5">
        <w:t xml:space="preserve">upon the presentation of a pilgrim passport with stamps from Reading </w:t>
      </w:r>
      <w:r>
        <w:t>a</w:t>
      </w:r>
      <w:r w:rsidR="009D541A">
        <w:t>t</w:t>
      </w:r>
      <w:r w:rsidR="00B0500A">
        <w:t>:</w:t>
      </w:r>
    </w:p>
    <w:p w14:paraId="22B59EB7" w14:textId="77777777" w:rsidR="00B0500A" w:rsidRDefault="009D541A" w:rsidP="00B0500A">
      <w:pPr>
        <w:pStyle w:val="ListParagraph"/>
        <w:numPr>
          <w:ilvl w:val="0"/>
          <w:numId w:val="1"/>
        </w:numPr>
      </w:pPr>
      <w:r w:rsidRPr="00372458">
        <w:rPr>
          <w:b/>
          <w:bCs/>
        </w:rPr>
        <w:t>God’s House Tower</w:t>
      </w:r>
      <w:r>
        <w:t xml:space="preserve"> </w:t>
      </w:r>
      <w:r w:rsidR="003741D5">
        <w:t xml:space="preserve">(open </w:t>
      </w:r>
      <w:r w:rsidR="003741D5" w:rsidRPr="00EA5F5C">
        <w:t>Fri to Sat</w:t>
      </w:r>
      <w:r w:rsidR="003741D5">
        <w:t>,</w:t>
      </w:r>
      <w:r w:rsidR="003741D5" w:rsidRPr="00EA5F5C">
        <w:t xml:space="preserve"> 10</w:t>
      </w:r>
      <w:r w:rsidR="003741D5">
        <w:t>am</w:t>
      </w:r>
      <w:r w:rsidR="003741D5" w:rsidRPr="00EA5F5C">
        <w:t xml:space="preserve"> – </w:t>
      </w:r>
      <w:r w:rsidR="003741D5">
        <w:t xml:space="preserve">5pm, and </w:t>
      </w:r>
      <w:r w:rsidR="003741D5" w:rsidRPr="00EA5F5C">
        <w:t>Sun 10</w:t>
      </w:r>
      <w:r w:rsidR="003741D5">
        <w:t>am</w:t>
      </w:r>
      <w:r w:rsidR="003741D5" w:rsidRPr="00EA5F5C">
        <w:t xml:space="preserve"> – </w:t>
      </w:r>
      <w:r w:rsidR="003741D5">
        <w:t>4pm)</w:t>
      </w:r>
    </w:p>
    <w:p w14:paraId="4C6179F0" w14:textId="2A125BF8" w:rsidR="00B0500A" w:rsidRDefault="00853E0D" w:rsidP="00B0500A">
      <w:pPr>
        <w:pStyle w:val="ListParagraph"/>
        <w:numPr>
          <w:ilvl w:val="0"/>
          <w:numId w:val="1"/>
        </w:numPr>
      </w:pPr>
      <w:r w:rsidRPr="00372458">
        <w:rPr>
          <w:b/>
          <w:bCs/>
        </w:rPr>
        <w:t>Tudor House &amp; Garden</w:t>
      </w:r>
      <w:r>
        <w:t xml:space="preserve"> </w:t>
      </w:r>
      <w:r w:rsidR="00777238">
        <w:t xml:space="preserve">(open </w:t>
      </w:r>
      <w:r w:rsidR="002A4213">
        <w:t>Mon to Thurs, 10am – 3pm and weekends</w:t>
      </w:r>
      <w:r w:rsidR="00992832">
        <w:t>,</w:t>
      </w:r>
      <w:r w:rsidR="002A4213">
        <w:t xml:space="preserve"> </w:t>
      </w:r>
      <w:r w:rsidR="00992832">
        <w:t>10am – 5pm</w:t>
      </w:r>
      <w:r w:rsidR="003F5844">
        <w:t>; closed Fri</w:t>
      </w:r>
      <w:r w:rsidR="00992832">
        <w:t>)</w:t>
      </w:r>
      <w:r w:rsidR="00D830E6">
        <w:t xml:space="preserve">.  This venue is on Bugle Street, </w:t>
      </w:r>
      <w:r w:rsidR="00C52C5B">
        <w:t>a short walk from GHT.</w:t>
      </w:r>
    </w:p>
    <w:p w14:paraId="47E84A6C" w14:textId="15529B9E" w:rsidR="00E36AED" w:rsidRDefault="00114F5B" w:rsidP="00B0500A">
      <w:r>
        <w:t xml:space="preserve">Last </w:t>
      </w:r>
      <w:r w:rsidR="00E36AED">
        <w:t>entry to these venues is ¾ hour before their cl</w:t>
      </w:r>
      <w:r w:rsidR="001536F5">
        <w:t>o</w:t>
      </w:r>
      <w:r w:rsidR="00E36AED">
        <w:t>sing</w:t>
      </w:r>
      <w:r w:rsidR="001536F5">
        <w:t xml:space="preserve"> time</w:t>
      </w:r>
      <w:r w:rsidR="007A3E1D">
        <w:t xml:space="preserve">, so please </w:t>
      </w:r>
      <w:r w:rsidR="00796D5C">
        <w:t xml:space="preserve">be mindful </w:t>
      </w:r>
      <w:r w:rsidR="000655ED">
        <w:t xml:space="preserve">of </w:t>
      </w:r>
      <w:r w:rsidR="00FC350E">
        <w:t xml:space="preserve">starting out </w:t>
      </w:r>
      <w:r w:rsidR="00AB0B16">
        <w:t xml:space="preserve">on your final day </w:t>
      </w:r>
      <w:r w:rsidR="00FC350E">
        <w:t xml:space="preserve">in good time </w:t>
      </w:r>
      <w:r w:rsidR="000655ED">
        <w:t xml:space="preserve">to </w:t>
      </w:r>
      <w:r w:rsidR="002B105B">
        <w:t xml:space="preserve">enter </w:t>
      </w:r>
      <w:r w:rsidR="000C4D6B">
        <w:t xml:space="preserve">and </w:t>
      </w:r>
      <w:r w:rsidR="000A739B">
        <w:t xml:space="preserve">enjoy </w:t>
      </w:r>
      <w:r w:rsidR="00383E0F">
        <w:t>your achievement</w:t>
      </w:r>
      <w:r w:rsidR="00D0195B">
        <w:t>.  Alternatively</w:t>
      </w:r>
      <w:r w:rsidR="00D552BB">
        <w:t>,</w:t>
      </w:r>
      <w:r w:rsidR="00AB0B16">
        <w:t xml:space="preserve"> leave </w:t>
      </w:r>
      <w:r w:rsidR="008200F9">
        <w:t xml:space="preserve">the claiming of your </w:t>
      </w:r>
      <w:r w:rsidR="006F48BA" w:rsidRPr="006F48BA">
        <w:t>Via de Sanctus Iacobus</w:t>
      </w:r>
      <w:r w:rsidR="008200F9">
        <w:t xml:space="preserve"> </w:t>
      </w:r>
      <w:r w:rsidR="00C01042">
        <w:t xml:space="preserve">certificate </w:t>
      </w:r>
      <w:r w:rsidR="008200F9">
        <w:t xml:space="preserve">to </w:t>
      </w:r>
      <w:r w:rsidR="00AB0B16">
        <w:t>the next day</w:t>
      </w:r>
      <w:r w:rsidR="008D6805">
        <w:t>, or a later date</w:t>
      </w:r>
      <w:r w:rsidR="00383E0F">
        <w:t>.</w:t>
      </w:r>
    </w:p>
    <w:p w14:paraId="41C417C6" w14:textId="2A251764" w:rsidR="002B105B" w:rsidRDefault="00405068" w:rsidP="00B0500A">
      <w:r>
        <w:t xml:space="preserve">Tudor House </w:t>
      </w:r>
      <w:r w:rsidR="0080192E">
        <w:t xml:space="preserve">is offering </w:t>
      </w:r>
      <w:r w:rsidR="004323C3">
        <w:t xml:space="preserve">Camino </w:t>
      </w:r>
      <w:r w:rsidR="0080192E">
        <w:t xml:space="preserve">pilgrims </w:t>
      </w:r>
      <w:r w:rsidR="003959E1">
        <w:t xml:space="preserve">a 10% discount off entrance </w:t>
      </w:r>
      <w:r w:rsidR="0080192E">
        <w:t>f</w:t>
      </w:r>
      <w:r w:rsidR="00927904">
        <w:t xml:space="preserve">or a </w:t>
      </w:r>
      <w:r w:rsidR="005D5B38">
        <w:t>6-month</w:t>
      </w:r>
      <w:r w:rsidR="00361662">
        <w:t xml:space="preserve"> trial </w:t>
      </w:r>
      <w:r w:rsidR="00927904">
        <w:t xml:space="preserve">to </w:t>
      </w:r>
      <w:r w:rsidR="00233B2A">
        <w:t>31</w:t>
      </w:r>
      <w:r w:rsidR="00233B2A" w:rsidRPr="00233B2A">
        <w:rPr>
          <w:vertAlign w:val="superscript"/>
        </w:rPr>
        <w:t>st</w:t>
      </w:r>
      <w:r w:rsidR="00233B2A">
        <w:t xml:space="preserve"> August 2023</w:t>
      </w:r>
      <w:r w:rsidR="0080192E">
        <w:t xml:space="preserve">.  </w:t>
      </w:r>
      <w:r w:rsidR="007D68EC">
        <w:t xml:space="preserve">It’s café, which </w:t>
      </w:r>
      <w:r w:rsidR="004F6514">
        <w:t>is free to enter</w:t>
      </w:r>
      <w:r w:rsidR="005D5B38">
        <w:t>, serves d</w:t>
      </w:r>
      <w:r>
        <w:t>elicious homemade food</w:t>
      </w:r>
      <w:r w:rsidR="005D5B38">
        <w:t>.</w:t>
      </w:r>
    </w:p>
    <w:p w14:paraId="2CEDF572" w14:textId="151D39B3" w:rsidR="00771D94" w:rsidRDefault="008836D8" w:rsidP="005C6A39">
      <w:pPr>
        <w:spacing w:after="120"/>
      </w:pPr>
      <w:r>
        <w:t>Lastly</w:t>
      </w:r>
      <w:r w:rsidR="00E21744">
        <w:t xml:space="preserve">, </w:t>
      </w:r>
      <w:r w:rsidR="00506CD6">
        <w:t xml:space="preserve">another option </w:t>
      </w:r>
      <w:r w:rsidR="00E21744">
        <w:t>t</w:t>
      </w:r>
      <w:r w:rsidR="00BE487A">
        <w:t xml:space="preserve">o gain </w:t>
      </w:r>
      <w:r w:rsidR="004E7CB0">
        <w:t>the</w:t>
      </w:r>
      <w:r w:rsidR="00BE487A">
        <w:t xml:space="preserve"> final stamp</w:t>
      </w:r>
      <w:r w:rsidR="009C47DB">
        <w:t xml:space="preserve"> </w:t>
      </w:r>
      <w:r w:rsidR="00560E7D">
        <w:t>before the Camino Ingl</w:t>
      </w:r>
      <w:r w:rsidR="00560E7D" w:rsidRPr="00EC6E38">
        <w:t>é</w:t>
      </w:r>
      <w:r w:rsidR="00560E7D">
        <w:t>s beckons your spirit to walk on to Santiago de Compostela</w:t>
      </w:r>
      <w:r w:rsidR="00421876">
        <w:t>,</w:t>
      </w:r>
      <w:r w:rsidR="00560E7D">
        <w:t xml:space="preserve"> </w:t>
      </w:r>
      <w:r w:rsidR="00295BF5">
        <w:t xml:space="preserve">the </w:t>
      </w:r>
      <w:r w:rsidR="00533CEB" w:rsidRPr="00E77AE3">
        <w:rPr>
          <w:b/>
          <w:bCs/>
        </w:rPr>
        <w:t>Duke of Wellington</w:t>
      </w:r>
      <w:r w:rsidR="00533CEB">
        <w:t xml:space="preserve"> </w:t>
      </w:r>
      <w:r w:rsidR="002B1AA1">
        <w:t>pub</w:t>
      </w:r>
      <w:r w:rsidR="00034521">
        <w:t xml:space="preserve">, also </w:t>
      </w:r>
      <w:r w:rsidR="00295BF5">
        <w:t>on Bugle Street</w:t>
      </w:r>
      <w:r w:rsidR="00034521">
        <w:t>,</w:t>
      </w:r>
      <w:r w:rsidR="00295BF5">
        <w:t xml:space="preserve"> is </w:t>
      </w:r>
      <w:r w:rsidR="00AF6A84">
        <w:t>open nearly all hours</w:t>
      </w:r>
      <w:r w:rsidR="009604B3">
        <w:t>.</w:t>
      </w:r>
    </w:p>
    <w:p w14:paraId="108FA126" w14:textId="4BC7CAA0" w:rsidR="00034521" w:rsidRPr="00D266F1" w:rsidRDefault="005F0883" w:rsidP="005C6A39">
      <w:pPr>
        <w:spacing w:after="120"/>
        <w:rPr>
          <w:b/>
          <w:bCs/>
        </w:rPr>
      </w:pPr>
      <w:r w:rsidRPr="00D266F1">
        <w:rPr>
          <w:b/>
          <w:bCs/>
        </w:rPr>
        <w:t xml:space="preserve">Seasonal </w:t>
      </w:r>
      <w:r w:rsidR="00692400" w:rsidRPr="00D266F1">
        <w:rPr>
          <w:b/>
          <w:bCs/>
        </w:rPr>
        <w:t>Cami</w:t>
      </w:r>
      <w:r w:rsidR="00D266F1" w:rsidRPr="00D266F1">
        <w:rPr>
          <w:b/>
          <w:bCs/>
        </w:rPr>
        <w:t>no</w:t>
      </w:r>
    </w:p>
    <w:p w14:paraId="563E9CC9" w14:textId="2C1CC2A3" w:rsidR="005F0883" w:rsidRDefault="00C52234" w:rsidP="005C6A39">
      <w:pPr>
        <w:spacing w:after="120"/>
      </w:pPr>
      <w:r>
        <w:t xml:space="preserve">Why not walk the </w:t>
      </w:r>
      <w:r w:rsidR="00013B50">
        <w:t xml:space="preserve">St James’ Way </w:t>
      </w:r>
      <w:r w:rsidR="007D1C7B">
        <w:t xml:space="preserve">route </w:t>
      </w:r>
      <w:r w:rsidR="00144D84">
        <w:t xml:space="preserve">again </w:t>
      </w:r>
      <w:r w:rsidR="007D1C7B">
        <w:t>in Spring, Summer, Autumn</w:t>
      </w:r>
      <w:r w:rsidR="00977F00">
        <w:t>,</w:t>
      </w:r>
      <w:r w:rsidR="007D1C7B">
        <w:t xml:space="preserve"> </w:t>
      </w:r>
      <w:r w:rsidR="00977F00">
        <w:t xml:space="preserve">or </w:t>
      </w:r>
      <w:r w:rsidR="007D1C7B">
        <w:t xml:space="preserve">Winter </w:t>
      </w:r>
      <w:r w:rsidR="00797ADE">
        <w:t>to</w:t>
      </w:r>
      <w:r w:rsidR="007D1C7B">
        <w:t xml:space="preserve"> discover </w:t>
      </w:r>
      <w:r w:rsidR="001E7E70">
        <w:t>its</w:t>
      </w:r>
      <w:r w:rsidR="00013B50">
        <w:t xml:space="preserve"> changing landscape</w:t>
      </w:r>
      <w:r w:rsidR="00157681">
        <w:t>?  T</w:t>
      </w:r>
      <w:r w:rsidR="00C1175A">
        <w:t xml:space="preserve">he contrast </w:t>
      </w:r>
      <w:r w:rsidR="00DC191F">
        <w:t>can be dramatic</w:t>
      </w:r>
      <w:r w:rsidR="00157681">
        <w:t>.</w:t>
      </w:r>
      <w:r w:rsidR="001E7E70">
        <w:t xml:space="preserve">  </w:t>
      </w:r>
      <w:r w:rsidR="009267BC">
        <w:t xml:space="preserve">Furthermore, </w:t>
      </w:r>
      <w:r w:rsidR="003B35BE">
        <w:t>t</w:t>
      </w:r>
      <w:r w:rsidR="00F96AB5">
        <w:t xml:space="preserve">he </w:t>
      </w:r>
      <w:r w:rsidR="00B51DD1" w:rsidRPr="006F48BA">
        <w:t>Via de Sanctus Iacobus</w:t>
      </w:r>
      <w:r w:rsidR="00B51DD1">
        <w:t xml:space="preserve"> certificate </w:t>
      </w:r>
      <w:r w:rsidR="007F4D4A">
        <w:t xml:space="preserve">offered by </w:t>
      </w:r>
      <w:r w:rsidR="00581D72">
        <w:t xml:space="preserve">Tudor House </w:t>
      </w:r>
      <w:r w:rsidR="00A65E5A">
        <w:t xml:space="preserve">differs </w:t>
      </w:r>
      <w:r w:rsidR="00893B2D">
        <w:t>acc</w:t>
      </w:r>
      <w:r w:rsidR="003C66EB">
        <w:t>ording to the season</w:t>
      </w:r>
      <w:r w:rsidR="0041794B">
        <w:t xml:space="preserve">.  </w:t>
      </w:r>
      <w:r w:rsidR="00CD1E60">
        <w:t>A d</w:t>
      </w:r>
      <w:r w:rsidR="006F56E7">
        <w:t>evoted</w:t>
      </w:r>
      <w:r w:rsidR="0041794B">
        <w:t xml:space="preserve"> pilgrim </w:t>
      </w:r>
      <w:r w:rsidR="0063712B">
        <w:t>may</w:t>
      </w:r>
      <w:r w:rsidR="00315BF7">
        <w:t xml:space="preserve"> </w:t>
      </w:r>
      <w:r w:rsidR="003056D8">
        <w:t xml:space="preserve">gain </w:t>
      </w:r>
      <w:r w:rsidR="006E21E3">
        <w:t>a full</w:t>
      </w:r>
      <w:r w:rsidR="00FD705A">
        <w:t xml:space="preserve"> set of </w:t>
      </w:r>
      <w:r w:rsidR="00E43712">
        <w:t>four</w:t>
      </w:r>
      <w:r w:rsidR="002837A0">
        <w:t>!</w:t>
      </w:r>
    </w:p>
    <w:p w14:paraId="277378EB" w14:textId="77777777" w:rsidR="00D266F1" w:rsidRPr="007F616C" w:rsidRDefault="00D266F1" w:rsidP="005C6A39">
      <w:pPr>
        <w:spacing w:after="120"/>
      </w:pPr>
    </w:p>
    <w:sectPr w:rsidR="00D266F1" w:rsidRPr="007F616C" w:rsidSect="00D07C3C">
      <w:headerReference w:type="default" r:id="rId9"/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C3D3" w14:textId="77777777" w:rsidR="00116413" w:rsidRDefault="00116413" w:rsidP="006441FB">
      <w:pPr>
        <w:spacing w:after="0" w:line="240" w:lineRule="auto"/>
      </w:pPr>
      <w:r>
        <w:separator/>
      </w:r>
    </w:p>
  </w:endnote>
  <w:endnote w:type="continuationSeparator" w:id="0">
    <w:p w14:paraId="562B1788" w14:textId="77777777" w:rsidR="00116413" w:rsidRDefault="00116413" w:rsidP="0064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3552" w14:textId="4D748FA8" w:rsidR="00083BDF" w:rsidRDefault="00B338BA">
    <w:pPr>
      <w:pStyle w:val="Footer"/>
    </w:pPr>
    <w:r>
      <w:tab/>
    </w:r>
    <w:r w:rsidR="009C1FD6">
      <w:fldChar w:fldCharType="begin"/>
    </w:r>
    <w:r w:rsidR="009C1FD6">
      <w:instrText xml:space="preserve"> PAGE  \* Arabic  \* MERGEFORMAT </w:instrText>
    </w:r>
    <w:r w:rsidR="009C1FD6">
      <w:fldChar w:fldCharType="separate"/>
    </w:r>
    <w:r w:rsidR="009C1FD6">
      <w:rPr>
        <w:noProof/>
      </w:rPr>
      <w:t>1</w:t>
    </w:r>
    <w:r w:rsidR="009C1FD6">
      <w:fldChar w:fldCharType="end"/>
    </w:r>
    <w:r w:rsidR="009C1FD6">
      <w:t xml:space="preserve"> of </w:t>
    </w:r>
    <w:fldSimple w:instr=" NUMPAGES  \* Arabic  \* MERGEFORMAT ">
      <w:r w:rsidR="009C1FD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CC2A" w14:textId="77777777" w:rsidR="00116413" w:rsidRDefault="00116413" w:rsidP="006441FB">
      <w:pPr>
        <w:spacing w:after="0" w:line="240" w:lineRule="auto"/>
      </w:pPr>
      <w:r>
        <w:separator/>
      </w:r>
    </w:p>
  </w:footnote>
  <w:footnote w:type="continuationSeparator" w:id="0">
    <w:p w14:paraId="07DD2ADC" w14:textId="77777777" w:rsidR="00116413" w:rsidRDefault="00116413" w:rsidP="0064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4C78" w14:textId="1EF59A3C" w:rsidR="004B567F" w:rsidRDefault="004B567F" w:rsidP="006441FB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2FECFF" wp14:editId="424BC252">
          <wp:simplePos x="0" y="0"/>
          <wp:positionH relativeFrom="column">
            <wp:posOffset>5497830</wp:posOffset>
          </wp:positionH>
          <wp:positionV relativeFrom="paragraph">
            <wp:posOffset>-211455</wp:posOffset>
          </wp:positionV>
          <wp:extent cx="859805" cy="76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55501" w14:textId="6D7790A9" w:rsidR="006441FB" w:rsidRPr="00670CE7" w:rsidRDefault="006441FB" w:rsidP="006441FB">
    <w:pPr>
      <w:pStyle w:val="Header"/>
      <w:jc w:val="center"/>
      <w:rPr>
        <w:b/>
        <w:bCs/>
        <w:sz w:val="24"/>
        <w:szCs w:val="24"/>
      </w:rPr>
    </w:pPr>
    <w:r w:rsidRPr="00670CE7">
      <w:rPr>
        <w:b/>
        <w:bCs/>
        <w:sz w:val="24"/>
        <w:szCs w:val="24"/>
      </w:rPr>
      <w:t>A Pilgrim Guide to St James’ Way - Supplement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8B6"/>
    <w:multiLevelType w:val="hybridMultilevel"/>
    <w:tmpl w:val="E156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5E95"/>
    <w:multiLevelType w:val="hybridMultilevel"/>
    <w:tmpl w:val="9B28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722570">
    <w:abstractNumId w:val="1"/>
  </w:num>
  <w:num w:numId="2" w16cid:durableId="204054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FB"/>
    <w:rsid w:val="00000536"/>
    <w:rsid w:val="00001672"/>
    <w:rsid w:val="00004B6C"/>
    <w:rsid w:val="0000539D"/>
    <w:rsid w:val="00005495"/>
    <w:rsid w:val="00012F2A"/>
    <w:rsid w:val="00013B50"/>
    <w:rsid w:val="00020588"/>
    <w:rsid w:val="000257CF"/>
    <w:rsid w:val="00031676"/>
    <w:rsid w:val="00033582"/>
    <w:rsid w:val="00034521"/>
    <w:rsid w:val="00037507"/>
    <w:rsid w:val="00046502"/>
    <w:rsid w:val="000466F9"/>
    <w:rsid w:val="00050B19"/>
    <w:rsid w:val="00052556"/>
    <w:rsid w:val="000559F6"/>
    <w:rsid w:val="00061F1E"/>
    <w:rsid w:val="00064B72"/>
    <w:rsid w:val="000655ED"/>
    <w:rsid w:val="00070358"/>
    <w:rsid w:val="00072C7E"/>
    <w:rsid w:val="0007591F"/>
    <w:rsid w:val="000801DB"/>
    <w:rsid w:val="00081FAA"/>
    <w:rsid w:val="00083BDF"/>
    <w:rsid w:val="00087B16"/>
    <w:rsid w:val="00092472"/>
    <w:rsid w:val="0009630C"/>
    <w:rsid w:val="000A2A55"/>
    <w:rsid w:val="000A739B"/>
    <w:rsid w:val="000B0274"/>
    <w:rsid w:val="000C4D6B"/>
    <w:rsid w:val="000D0748"/>
    <w:rsid w:val="000D223E"/>
    <w:rsid w:val="000E3874"/>
    <w:rsid w:val="000E540B"/>
    <w:rsid w:val="000F74E1"/>
    <w:rsid w:val="001014B1"/>
    <w:rsid w:val="001071A4"/>
    <w:rsid w:val="00111C81"/>
    <w:rsid w:val="001126ED"/>
    <w:rsid w:val="0011306B"/>
    <w:rsid w:val="00114029"/>
    <w:rsid w:val="00114F5B"/>
    <w:rsid w:val="00116413"/>
    <w:rsid w:val="00122963"/>
    <w:rsid w:val="00123A2C"/>
    <w:rsid w:val="00123C29"/>
    <w:rsid w:val="00127F0C"/>
    <w:rsid w:val="0013458B"/>
    <w:rsid w:val="00144D84"/>
    <w:rsid w:val="00147C97"/>
    <w:rsid w:val="00151C6F"/>
    <w:rsid w:val="0015218D"/>
    <w:rsid w:val="00153383"/>
    <w:rsid w:val="001536F5"/>
    <w:rsid w:val="001563AF"/>
    <w:rsid w:val="00157681"/>
    <w:rsid w:val="0016740D"/>
    <w:rsid w:val="00170AAF"/>
    <w:rsid w:val="0017357A"/>
    <w:rsid w:val="00174698"/>
    <w:rsid w:val="001867DD"/>
    <w:rsid w:val="0019404E"/>
    <w:rsid w:val="00195AF6"/>
    <w:rsid w:val="00197866"/>
    <w:rsid w:val="001A1C94"/>
    <w:rsid w:val="001B4E90"/>
    <w:rsid w:val="001C5538"/>
    <w:rsid w:val="001C5AF6"/>
    <w:rsid w:val="001D3C9A"/>
    <w:rsid w:val="001D5A44"/>
    <w:rsid w:val="001D7926"/>
    <w:rsid w:val="001E053C"/>
    <w:rsid w:val="001E1CCE"/>
    <w:rsid w:val="001E5627"/>
    <w:rsid w:val="001E7E70"/>
    <w:rsid w:val="001F0908"/>
    <w:rsid w:val="001F1319"/>
    <w:rsid w:val="001F51C4"/>
    <w:rsid w:val="00213002"/>
    <w:rsid w:val="00215640"/>
    <w:rsid w:val="00216AB9"/>
    <w:rsid w:val="00221A89"/>
    <w:rsid w:val="002307E8"/>
    <w:rsid w:val="00232185"/>
    <w:rsid w:val="00233B2A"/>
    <w:rsid w:val="00236D4A"/>
    <w:rsid w:val="0024330C"/>
    <w:rsid w:val="00245D62"/>
    <w:rsid w:val="00251C6D"/>
    <w:rsid w:val="00252F67"/>
    <w:rsid w:val="002662E5"/>
    <w:rsid w:val="00266F11"/>
    <w:rsid w:val="00275B4D"/>
    <w:rsid w:val="0027634A"/>
    <w:rsid w:val="00277B91"/>
    <w:rsid w:val="002837A0"/>
    <w:rsid w:val="00283CF3"/>
    <w:rsid w:val="00283F57"/>
    <w:rsid w:val="0029349D"/>
    <w:rsid w:val="00295BF5"/>
    <w:rsid w:val="002A4213"/>
    <w:rsid w:val="002A54EE"/>
    <w:rsid w:val="002B105B"/>
    <w:rsid w:val="002B1AA1"/>
    <w:rsid w:val="002C2E60"/>
    <w:rsid w:val="002C4972"/>
    <w:rsid w:val="002C4B02"/>
    <w:rsid w:val="002E060E"/>
    <w:rsid w:val="002E0994"/>
    <w:rsid w:val="002E4CF7"/>
    <w:rsid w:val="002E5B6B"/>
    <w:rsid w:val="002F668D"/>
    <w:rsid w:val="00301399"/>
    <w:rsid w:val="00302F82"/>
    <w:rsid w:val="0030538F"/>
    <w:rsid w:val="003056D8"/>
    <w:rsid w:val="00306CB8"/>
    <w:rsid w:val="003077A3"/>
    <w:rsid w:val="00315BF7"/>
    <w:rsid w:val="00324D38"/>
    <w:rsid w:val="00330F3F"/>
    <w:rsid w:val="00334C1F"/>
    <w:rsid w:val="00336668"/>
    <w:rsid w:val="003419ED"/>
    <w:rsid w:val="0035675E"/>
    <w:rsid w:val="00361662"/>
    <w:rsid w:val="00372458"/>
    <w:rsid w:val="003741D5"/>
    <w:rsid w:val="0037475F"/>
    <w:rsid w:val="00383E0F"/>
    <w:rsid w:val="00383F6F"/>
    <w:rsid w:val="0038412F"/>
    <w:rsid w:val="003959E1"/>
    <w:rsid w:val="003A5024"/>
    <w:rsid w:val="003A5376"/>
    <w:rsid w:val="003B35BE"/>
    <w:rsid w:val="003C135F"/>
    <w:rsid w:val="003C2BDD"/>
    <w:rsid w:val="003C66EB"/>
    <w:rsid w:val="003C6E1C"/>
    <w:rsid w:val="003D0DA3"/>
    <w:rsid w:val="003D1073"/>
    <w:rsid w:val="003D1D9C"/>
    <w:rsid w:val="003D46E8"/>
    <w:rsid w:val="003D4D67"/>
    <w:rsid w:val="003D5EFE"/>
    <w:rsid w:val="003D6969"/>
    <w:rsid w:val="003D7309"/>
    <w:rsid w:val="003E45FD"/>
    <w:rsid w:val="003F5844"/>
    <w:rsid w:val="004023E2"/>
    <w:rsid w:val="00405068"/>
    <w:rsid w:val="0041794B"/>
    <w:rsid w:val="004207CB"/>
    <w:rsid w:val="00421502"/>
    <w:rsid w:val="00421876"/>
    <w:rsid w:val="00424D8C"/>
    <w:rsid w:val="004318A7"/>
    <w:rsid w:val="004323C3"/>
    <w:rsid w:val="00434874"/>
    <w:rsid w:val="00434F4A"/>
    <w:rsid w:val="004505F6"/>
    <w:rsid w:val="00454469"/>
    <w:rsid w:val="004574A5"/>
    <w:rsid w:val="00463563"/>
    <w:rsid w:val="004723F8"/>
    <w:rsid w:val="00476E4A"/>
    <w:rsid w:val="00477D93"/>
    <w:rsid w:val="00482233"/>
    <w:rsid w:val="00491F6E"/>
    <w:rsid w:val="004A1340"/>
    <w:rsid w:val="004A43B3"/>
    <w:rsid w:val="004A5C1C"/>
    <w:rsid w:val="004A6BD5"/>
    <w:rsid w:val="004B01E3"/>
    <w:rsid w:val="004B567F"/>
    <w:rsid w:val="004B6467"/>
    <w:rsid w:val="004C458F"/>
    <w:rsid w:val="004C5130"/>
    <w:rsid w:val="004C6CC5"/>
    <w:rsid w:val="004D0CFF"/>
    <w:rsid w:val="004D7DC0"/>
    <w:rsid w:val="004E41D0"/>
    <w:rsid w:val="004E7331"/>
    <w:rsid w:val="004E7CB0"/>
    <w:rsid w:val="004F0CF3"/>
    <w:rsid w:val="004F6514"/>
    <w:rsid w:val="00501127"/>
    <w:rsid w:val="0050191D"/>
    <w:rsid w:val="005023D0"/>
    <w:rsid w:val="00505842"/>
    <w:rsid w:val="00506CD6"/>
    <w:rsid w:val="00515BF6"/>
    <w:rsid w:val="00515DCF"/>
    <w:rsid w:val="00533CEB"/>
    <w:rsid w:val="0054320E"/>
    <w:rsid w:val="00544486"/>
    <w:rsid w:val="00546B99"/>
    <w:rsid w:val="0055308F"/>
    <w:rsid w:val="00560E7D"/>
    <w:rsid w:val="0056300A"/>
    <w:rsid w:val="005640AF"/>
    <w:rsid w:val="00565912"/>
    <w:rsid w:val="00567D1A"/>
    <w:rsid w:val="0057258B"/>
    <w:rsid w:val="00574F41"/>
    <w:rsid w:val="0057698C"/>
    <w:rsid w:val="00577F0D"/>
    <w:rsid w:val="00580BB2"/>
    <w:rsid w:val="00581D72"/>
    <w:rsid w:val="00593F19"/>
    <w:rsid w:val="005958B9"/>
    <w:rsid w:val="005B1654"/>
    <w:rsid w:val="005B31C0"/>
    <w:rsid w:val="005B644A"/>
    <w:rsid w:val="005B7A9C"/>
    <w:rsid w:val="005C459B"/>
    <w:rsid w:val="005C4CBC"/>
    <w:rsid w:val="005C6A39"/>
    <w:rsid w:val="005D29E8"/>
    <w:rsid w:val="005D44F1"/>
    <w:rsid w:val="005D5B38"/>
    <w:rsid w:val="005D6820"/>
    <w:rsid w:val="005E31CD"/>
    <w:rsid w:val="005E54E9"/>
    <w:rsid w:val="005F0446"/>
    <w:rsid w:val="005F0883"/>
    <w:rsid w:val="005F51A0"/>
    <w:rsid w:val="005F71F1"/>
    <w:rsid w:val="006011E2"/>
    <w:rsid w:val="006018E2"/>
    <w:rsid w:val="006023B2"/>
    <w:rsid w:val="00602A9A"/>
    <w:rsid w:val="00610F01"/>
    <w:rsid w:val="00611F1F"/>
    <w:rsid w:val="00613431"/>
    <w:rsid w:val="0061511B"/>
    <w:rsid w:val="006159A7"/>
    <w:rsid w:val="0061643C"/>
    <w:rsid w:val="0062572B"/>
    <w:rsid w:val="00632614"/>
    <w:rsid w:val="00633F03"/>
    <w:rsid w:val="0063712B"/>
    <w:rsid w:val="00642F77"/>
    <w:rsid w:val="0064380A"/>
    <w:rsid w:val="006441FB"/>
    <w:rsid w:val="0066112D"/>
    <w:rsid w:val="00661C75"/>
    <w:rsid w:val="00670CE7"/>
    <w:rsid w:val="00675901"/>
    <w:rsid w:val="00692400"/>
    <w:rsid w:val="00696804"/>
    <w:rsid w:val="006A092B"/>
    <w:rsid w:val="006A2430"/>
    <w:rsid w:val="006A57A6"/>
    <w:rsid w:val="006A58A3"/>
    <w:rsid w:val="006B0092"/>
    <w:rsid w:val="006B7F10"/>
    <w:rsid w:val="006C5D3C"/>
    <w:rsid w:val="006E21E3"/>
    <w:rsid w:val="006E2489"/>
    <w:rsid w:val="006E3B28"/>
    <w:rsid w:val="006E4279"/>
    <w:rsid w:val="006E65C0"/>
    <w:rsid w:val="006F0DE4"/>
    <w:rsid w:val="006F10B2"/>
    <w:rsid w:val="006F461B"/>
    <w:rsid w:val="006F48BA"/>
    <w:rsid w:val="006F56E7"/>
    <w:rsid w:val="006F5968"/>
    <w:rsid w:val="006F5FB0"/>
    <w:rsid w:val="00702684"/>
    <w:rsid w:val="00702F53"/>
    <w:rsid w:val="00711556"/>
    <w:rsid w:val="00717893"/>
    <w:rsid w:val="00720E3C"/>
    <w:rsid w:val="0072196D"/>
    <w:rsid w:val="00726917"/>
    <w:rsid w:val="00727901"/>
    <w:rsid w:val="0073146D"/>
    <w:rsid w:val="00760738"/>
    <w:rsid w:val="00764BB6"/>
    <w:rsid w:val="00770E2A"/>
    <w:rsid w:val="00771D94"/>
    <w:rsid w:val="00777238"/>
    <w:rsid w:val="00780C69"/>
    <w:rsid w:val="0078652F"/>
    <w:rsid w:val="0079328C"/>
    <w:rsid w:val="00793C13"/>
    <w:rsid w:val="00795045"/>
    <w:rsid w:val="00796D5C"/>
    <w:rsid w:val="00797ADE"/>
    <w:rsid w:val="00797F4E"/>
    <w:rsid w:val="007A3E1D"/>
    <w:rsid w:val="007A6D15"/>
    <w:rsid w:val="007B2D47"/>
    <w:rsid w:val="007C3F7D"/>
    <w:rsid w:val="007D1C7B"/>
    <w:rsid w:val="007D68EC"/>
    <w:rsid w:val="007E11E2"/>
    <w:rsid w:val="007E4300"/>
    <w:rsid w:val="007E7E43"/>
    <w:rsid w:val="007F03AD"/>
    <w:rsid w:val="007F123C"/>
    <w:rsid w:val="007F29E7"/>
    <w:rsid w:val="007F4D4A"/>
    <w:rsid w:val="007F616C"/>
    <w:rsid w:val="007F658A"/>
    <w:rsid w:val="007F6A90"/>
    <w:rsid w:val="007F7630"/>
    <w:rsid w:val="0080192E"/>
    <w:rsid w:val="00802A45"/>
    <w:rsid w:val="00807C99"/>
    <w:rsid w:val="00814761"/>
    <w:rsid w:val="0081661F"/>
    <w:rsid w:val="00817D0D"/>
    <w:rsid w:val="008200F9"/>
    <w:rsid w:val="00821B55"/>
    <w:rsid w:val="00822F56"/>
    <w:rsid w:val="00853E0D"/>
    <w:rsid w:val="00861659"/>
    <w:rsid w:val="00874646"/>
    <w:rsid w:val="008836D8"/>
    <w:rsid w:val="00893B2D"/>
    <w:rsid w:val="00897DBD"/>
    <w:rsid w:val="008B1EE2"/>
    <w:rsid w:val="008B3C18"/>
    <w:rsid w:val="008C534F"/>
    <w:rsid w:val="008C5EBD"/>
    <w:rsid w:val="008D12DD"/>
    <w:rsid w:val="008D2C62"/>
    <w:rsid w:val="008D3ED3"/>
    <w:rsid w:val="008D66FC"/>
    <w:rsid w:val="008D6805"/>
    <w:rsid w:val="008E126A"/>
    <w:rsid w:val="008E1BEE"/>
    <w:rsid w:val="008F173B"/>
    <w:rsid w:val="008F6730"/>
    <w:rsid w:val="00901E73"/>
    <w:rsid w:val="00913D7A"/>
    <w:rsid w:val="009153EF"/>
    <w:rsid w:val="00921C0B"/>
    <w:rsid w:val="00922001"/>
    <w:rsid w:val="00922A0A"/>
    <w:rsid w:val="009267BC"/>
    <w:rsid w:val="00927904"/>
    <w:rsid w:val="009338F2"/>
    <w:rsid w:val="0093432E"/>
    <w:rsid w:val="0095041A"/>
    <w:rsid w:val="009504F6"/>
    <w:rsid w:val="00950E89"/>
    <w:rsid w:val="0095625B"/>
    <w:rsid w:val="009565D5"/>
    <w:rsid w:val="009604B3"/>
    <w:rsid w:val="0096335B"/>
    <w:rsid w:val="00963756"/>
    <w:rsid w:val="00963994"/>
    <w:rsid w:val="00964EC7"/>
    <w:rsid w:val="00975750"/>
    <w:rsid w:val="00977F00"/>
    <w:rsid w:val="00983AF5"/>
    <w:rsid w:val="0098401C"/>
    <w:rsid w:val="00992832"/>
    <w:rsid w:val="00994A85"/>
    <w:rsid w:val="009A0F3B"/>
    <w:rsid w:val="009A1A8D"/>
    <w:rsid w:val="009A3181"/>
    <w:rsid w:val="009A33C5"/>
    <w:rsid w:val="009B0E3B"/>
    <w:rsid w:val="009B6110"/>
    <w:rsid w:val="009C1FD6"/>
    <w:rsid w:val="009C30DB"/>
    <w:rsid w:val="009C47DB"/>
    <w:rsid w:val="009C4B4C"/>
    <w:rsid w:val="009C716D"/>
    <w:rsid w:val="009D46AA"/>
    <w:rsid w:val="009D4A73"/>
    <w:rsid w:val="009D541A"/>
    <w:rsid w:val="009D5519"/>
    <w:rsid w:val="009D664F"/>
    <w:rsid w:val="009D7199"/>
    <w:rsid w:val="009D7C4B"/>
    <w:rsid w:val="009F3B4F"/>
    <w:rsid w:val="009F616F"/>
    <w:rsid w:val="009F6FAD"/>
    <w:rsid w:val="00A00A44"/>
    <w:rsid w:val="00A0311A"/>
    <w:rsid w:val="00A07EFE"/>
    <w:rsid w:val="00A11D5B"/>
    <w:rsid w:val="00A129EB"/>
    <w:rsid w:val="00A12DBF"/>
    <w:rsid w:val="00A24394"/>
    <w:rsid w:val="00A24573"/>
    <w:rsid w:val="00A34130"/>
    <w:rsid w:val="00A42712"/>
    <w:rsid w:val="00A4627F"/>
    <w:rsid w:val="00A466BB"/>
    <w:rsid w:val="00A555E9"/>
    <w:rsid w:val="00A62300"/>
    <w:rsid w:val="00A62962"/>
    <w:rsid w:val="00A630F1"/>
    <w:rsid w:val="00A64AB2"/>
    <w:rsid w:val="00A65E5A"/>
    <w:rsid w:val="00A674BC"/>
    <w:rsid w:val="00A72474"/>
    <w:rsid w:val="00A73A73"/>
    <w:rsid w:val="00A915DE"/>
    <w:rsid w:val="00AA509A"/>
    <w:rsid w:val="00AA67B5"/>
    <w:rsid w:val="00AB0B16"/>
    <w:rsid w:val="00AB5194"/>
    <w:rsid w:val="00AC076D"/>
    <w:rsid w:val="00AC7A2E"/>
    <w:rsid w:val="00AE1C6F"/>
    <w:rsid w:val="00AE3D39"/>
    <w:rsid w:val="00AF12C3"/>
    <w:rsid w:val="00AF2EBB"/>
    <w:rsid w:val="00AF4CCD"/>
    <w:rsid w:val="00AF6A84"/>
    <w:rsid w:val="00B0500A"/>
    <w:rsid w:val="00B10B13"/>
    <w:rsid w:val="00B1439A"/>
    <w:rsid w:val="00B14888"/>
    <w:rsid w:val="00B14EC6"/>
    <w:rsid w:val="00B16569"/>
    <w:rsid w:val="00B2064D"/>
    <w:rsid w:val="00B25426"/>
    <w:rsid w:val="00B278DD"/>
    <w:rsid w:val="00B338BA"/>
    <w:rsid w:val="00B36607"/>
    <w:rsid w:val="00B37A12"/>
    <w:rsid w:val="00B43A41"/>
    <w:rsid w:val="00B44B45"/>
    <w:rsid w:val="00B47272"/>
    <w:rsid w:val="00B475F8"/>
    <w:rsid w:val="00B51DD1"/>
    <w:rsid w:val="00B56579"/>
    <w:rsid w:val="00B73EB3"/>
    <w:rsid w:val="00B77B7A"/>
    <w:rsid w:val="00B80528"/>
    <w:rsid w:val="00B84D79"/>
    <w:rsid w:val="00B861D0"/>
    <w:rsid w:val="00B909FA"/>
    <w:rsid w:val="00B9285E"/>
    <w:rsid w:val="00B9429E"/>
    <w:rsid w:val="00B94F8F"/>
    <w:rsid w:val="00BA1B3A"/>
    <w:rsid w:val="00BA1DDF"/>
    <w:rsid w:val="00BB2D59"/>
    <w:rsid w:val="00BB7D4D"/>
    <w:rsid w:val="00BC305E"/>
    <w:rsid w:val="00BD1878"/>
    <w:rsid w:val="00BD3EDE"/>
    <w:rsid w:val="00BD5999"/>
    <w:rsid w:val="00BE3554"/>
    <w:rsid w:val="00BE40B9"/>
    <w:rsid w:val="00BE487A"/>
    <w:rsid w:val="00BF2314"/>
    <w:rsid w:val="00C00C5F"/>
    <w:rsid w:val="00C01042"/>
    <w:rsid w:val="00C01306"/>
    <w:rsid w:val="00C04C55"/>
    <w:rsid w:val="00C04FC4"/>
    <w:rsid w:val="00C0775A"/>
    <w:rsid w:val="00C1108C"/>
    <w:rsid w:val="00C1175A"/>
    <w:rsid w:val="00C1388B"/>
    <w:rsid w:val="00C21DEB"/>
    <w:rsid w:val="00C3185F"/>
    <w:rsid w:val="00C33E79"/>
    <w:rsid w:val="00C4230B"/>
    <w:rsid w:val="00C42772"/>
    <w:rsid w:val="00C44101"/>
    <w:rsid w:val="00C52234"/>
    <w:rsid w:val="00C5249D"/>
    <w:rsid w:val="00C52C5B"/>
    <w:rsid w:val="00C5365F"/>
    <w:rsid w:val="00C553D2"/>
    <w:rsid w:val="00C74CD7"/>
    <w:rsid w:val="00C87E4C"/>
    <w:rsid w:val="00C9191F"/>
    <w:rsid w:val="00CA13A9"/>
    <w:rsid w:val="00CA28C1"/>
    <w:rsid w:val="00CA4BD0"/>
    <w:rsid w:val="00CB1345"/>
    <w:rsid w:val="00CB2A9B"/>
    <w:rsid w:val="00CC0E31"/>
    <w:rsid w:val="00CC6481"/>
    <w:rsid w:val="00CD10EE"/>
    <w:rsid w:val="00CD1E60"/>
    <w:rsid w:val="00CD2BB4"/>
    <w:rsid w:val="00CD6BE6"/>
    <w:rsid w:val="00CD7BA1"/>
    <w:rsid w:val="00CE0400"/>
    <w:rsid w:val="00CE3184"/>
    <w:rsid w:val="00CE37DE"/>
    <w:rsid w:val="00D01078"/>
    <w:rsid w:val="00D0195B"/>
    <w:rsid w:val="00D01AD5"/>
    <w:rsid w:val="00D05747"/>
    <w:rsid w:val="00D07C3C"/>
    <w:rsid w:val="00D126AA"/>
    <w:rsid w:val="00D15989"/>
    <w:rsid w:val="00D266F1"/>
    <w:rsid w:val="00D32B09"/>
    <w:rsid w:val="00D32D2F"/>
    <w:rsid w:val="00D33D1B"/>
    <w:rsid w:val="00D37093"/>
    <w:rsid w:val="00D42545"/>
    <w:rsid w:val="00D42656"/>
    <w:rsid w:val="00D42940"/>
    <w:rsid w:val="00D4758D"/>
    <w:rsid w:val="00D53477"/>
    <w:rsid w:val="00D552BB"/>
    <w:rsid w:val="00D57480"/>
    <w:rsid w:val="00D6461A"/>
    <w:rsid w:val="00D679B4"/>
    <w:rsid w:val="00D82B0F"/>
    <w:rsid w:val="00D830E6"/>
    <w:rsid w:val="00D91C8E"/>
    <w:rsid w:val="00DB140A"/>
    <w:rsid w:val="00DB53DD"/>
    <w:rsid w:val="00DC191F"/>
    <w:rsid w:val="00DC64C7"/>
    <w:rsid w:val="00DC71E0"/>
    <w:rsid w:val="00DD03F9"/>
    <w:rsid w:val="00DD40E9"/>
    <w:rsid w:val="00DD7BE1"/>
    <w:rsid w:val="00DE5EC5"/>
    <w:rsid w:val="00DE6E1C"/>
    <w:rsid w:val="00DF3FF1"/>
    <w:rsid w:val="00E117B3"/>
    <w:rsid w:val="00E121E8"/>
    <w:rsid w:val="00E16553"/>
    <w:rsid w:val="00E21744"/>
    <w:rsid w:val="00E22AE9"/>
    <w:rsid w:val="00E2756E"/>
    <w:rsid w:val="00E36AED"/>
    <w:rsid w:val="00E37478"/>
    <w:rsid w:val="00E3753A"/>
    <w:rsid w:val="00E37AF7"/>
    <w:rsid w:val="00E4337C"/>
    <w:rsid w:val="00E43712"/>
    <w:rsid w:val="00E43FBD"/>
    <w:rsid w:val="00E57758"/>
    <w:rsid w:val="00E6314C"/>
    <w:rsid w:val="00E67E8F"/>
    <w:rsid w:val="00E71A98"/>
    <w:rsid w:val="00E73E8B"/>
    <w:rsid w:val="00E7561E"/>
    <w:rsid w:val="00E766A3"/>
    <w:rsid w:val="00E77AE3"/>
    <w:rsid w:val="00E84A64"/>
    <w:rsid w:val="00E878C9"/>
    <w:rsid w:val="00E87FF7"/>
    <w:rsid w:val="00EA04EA"/>
    <w:rsid w:val="00EA3D73"/>
    <w:rsid w:val="00EA5F5C"/>
    <w:rsid w:val="00EA6744"/>
    <w:rsid w:val="00EB6E05"/>
    <w:rsid w:val="00EC6E38"/>
    <w:rsid w:val="00ED43D4"/>
    <w:rsid w:val="00ED7854"/>
    <w:rsid w:val="00EE347C"/>
    <w:rsid w:val="00EE649F"/>
    <w:rsid w:val="00EF0E4A"/>
    <w:rsid w:val="00EF5381"/>
    <w:rsid w:val="00EF7400"/>
    <w:rsid w:val="00F0048D"/>
    <w:rsid w:val="00F01B7A"/>
    <w:rsid w:val="00F0230A"/>
    <w:rsid w:val="00F03D52"/>
    <w:rsid w:val="00F05848"/>
    <w:rsid w:val="00F10E9E"/>
    <w:rsid w:val="00F1184E"/>
    <w:rsid w:val="00F14F07"/>
    <w:rsid w:val="00F2160E"/>
    <w:rsid w:val="00F24D2E"/>
    <w:rsid w:val="00F31F09"/>
    <w:rsid w:val="00F347DB"/>
    <w:rsid w:val="00F37719"/>
    <w:rsid w:val="00F405E3"/>
    <w:rsid w:val="00F44193"/>
    <w:rsid w:val="00F479D3"/>
    <w:rsid w:val="00F60EC3"/>
    <w:rsid w:val="00F654AF"/>
    <w:rsid w:val="00F65AC5"/>
    <w:rsid w:val="00F73298"/>
    <w:rsid w:val="00F7440E"/>
    <w:rsid w:val="00F83BAD"/>
    <w:rsid w:val="00F862AA"/>
    <w:rsid w:val="00F96AB5"/>
    <w:rsid w:val="00FA25FA"/>
    <w:rsid w:val="00FA6A27"/>
    <w:rsid w:val="00FB2795"/>
    <w:rsid w:val="00FB33CA"/>
    <w:rsid w:val="00FC350E"/>
    <w:rsid w:val="00FC370D"/>
    <w:rsid w:val="00FC77AB"/>
    <w:rsid w:val="00FD2D13"/>
    <w:rsid w:val="00FD2E45"/>
    <w:rsid w:val="00FD3CA2"/>
    <w:rsid w:val="00FD705A"/>
    <w:rsid w:val="00FD7136"/>
    <w:rsid w:val="00FE3191"/>
    <w:rsid w:val="00FE7FEB"/>
    <w:rsid w:val="00FF15C2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675B"/>
  <w15:chartTrackingRefBased/>
  <w15:docId w15:val="{4110DB21-1153-4F4D-BE07-22E86D3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4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1FB"/>
  </w:style>
  <w:style w:type="paragraph" w:styleId="Footer">
    <w:name w:val="footer"/>
    <w:basedOn w:val="Normal"/>
    <w:link w:val="FooterChar"/>
    <w:uiPriority w:val="99"/>
    <w:unhideWhenUsed/>
    <w:rsid w:val="0064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1FB"/>
  </w:style>
  <w:style w:type="character" w:styleId="Hyperlink">
    <w:name w:val="Hyperlink"/>
    <w:basedOn w:val="DefaultParagraphFont"/>
    <w:uiPriority w:val="99"/>
    <w:unhideWhenUsed/>
    <w:rsid w:val="00E165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4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4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94A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7537101666ydpe3098148yiv8910369101msonormal">
    <w:name w:val="yiv7537101666ydpe3098148yiv8910369101msonormal"/>
    <w:basedOn w:val="Normal"/>
    <w:rsid w:val="00F2160E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ma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B657-D233-47B3-B4F0-DB577E9F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Sinclair</dc:creator>
  <cp:keywords/>
  <dc:description/>
  <cp:lastModifiedBy>David Sinclair</cp:lastModifiedBy>
  <cp:revision>710</cp:revision>
  <cp:lastPrinted>2022-06-27T11:15:00Z</cp:lastPrinted>
  <dcterms:created xsi:type="dcterms:W3CDTF">2022-05-21T07:59:00Z</dcterms:created>
  <dcterms:modified xsi:type="dcterms:W3CDTF">2023-03-11T11:39:00Z</dcterms:modified>
</cp:coreProperties>
</file>